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312"/>
        <w:gridCol w:w="895"/>
        <w:gridCol w:w="817"/>
        <w:gridCol w:w="858"/>
        <w:gridCol w:w="758"/>
        <w:gridCol w:w="314"/>
        <w:gridCol w:w="425"/>
        <w:gridCol w:w="272"/>
        <w:gridCol w:w="236"/>
        <w:gridCol w:w="283"/>
        <w:gridCol w:w="236"/>
        <w:gridCol w:w="236"/>
        <w:gridCol w:w="788"/>
        <w:gridCol w:w="1351"/>
      </w:tblGrid>
      <w:tr w:rsidR="003B0738" w:rsidRPr="00662052" w:rsidTr="00E47F0C">
        <w:trPr>
          <w:trHeight w:val="240"/>
        </w:trPr>
        <w:tc>
          <w:tcPr>
            <w:tcW w:w="84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ПОЯСНИТЕЛЬНАЯ ЗАПИСКА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E47F0C">
        <w:trPr>
          <w:trHeight w:val="240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</w:t>
            </w:r>
          </w:p>
        </w:tc>
      </w:tr>
      <w:tr w:rsidR="00662052" w:rsidRPr="00662052" w:rsidTr="00E47F0C">
        <w:trPr>
          <w:trHeight w:val="22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0503160</w:t>
            </w:r>
          </w:p>
        </w:tc>
      </w:tr>
      <w:tr w:rsidR="00662052" w:rsidRPr="00662052" w:rsidTr="00E47F0C">
        <w:trPr>
          <w:trHeight w:val="22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A85A2B" w:rsidP="001B405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1F4C23">
              <w:rPr>
                <w:rFonts w:ascii="Times New Roman" w:eastAsia="Times New Roman" w:hAnsi="Times New Roman" w:cs="Times New Roman"/>
                <w:lang w:eastAsia="ru-RU"/>
              </w:rPr>
              <w:t>«01»января 202</w:t>
            </w:r>
            <w:r w:rsidR="001B4051"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1B4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01.01.202</w:t>
            </w:r>
            <w:r w:rsidR="001B40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B0738" w:rsidRPr="00662052" w:rsidTr="00E47F0C">
        <w:trPr>
          <w:trHeight w:val="380"/>
        </w:trPr>
        <w:tc>
          <w:tcPr>
            <w:tcW w:w="320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 главный администратор, администратор источников финансирования дефицита бюджета</w:t>
            </w:r>
          </w:p>
        </w:tc>
        <w:tc>
          <w:tcPr>
            <w:tcW w:w="4199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C620BB" w:rsidP="00FD390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</w:t>
            </w:r>
            <w:r w:rsidR="00FD3908">
              <w:rPr>
                <w:rFonts w:ascii="Times New Roman" w:eastAsia="Times New Roman" w:hAnsi="Times New Roman" w:cs="Times New Roman"/>
                <w:lang w:eastAsia="ru-RU"/>
              </w:rPr>
              <w:t>муниципальной собственности</w:t>
            </w:r>
            <w:r w:rsidR="009062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A74C6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9062C0"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</w:p>
        </w:tc>
        <w:tc>
          <w:tcPr>
            <w:tcW w:w="102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A85A2B" w:rsidRDefault="00FD3908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34256395</w:t>
            </w:r>
          </w:p>
        </w:tc>
      </w:tr>
      <w:tr w:rsidR="003B0738" w:rsidRPr="00662052" w:rsidTr="00E47F0C">
        <w:trPr>
          <w:trHeight w:val="380"/>
        </w:trPr>
        <w:tc>
          <w:tcPr>
            <w:tcW w:w="32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9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B0738" w:rsidRPr="00662052" w:rsidTr="00E47F0C">
        <w:trPr>
          <w:trHeight w:val="253"/>
        </w:trPr>
        <w:tc>
          <w:tcPr>
            <w:tcW w:w="32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9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0738" w:rsidRPr="00662052" w:rsidTr="00E47F0C">
        <w:trPr>
          <w:trHeight w:val="380"/>
        </w:trPr>
        <w:tc>
          <w:tcPr>
            <w:tcW w:w="32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9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B0738" w:rsidRPr="00662052" w:rsidTr="00E47F0C">
        <w:trPr>
          <w:trHeight w:val="253"/>
        </w:trPr>
        <w:tc>
          <w:tcPr>
            <w:tcW w:w="320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4199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Бюджет Шекснинского муниципального района</w:t>
            </w:r>
          </w:p>
        </w:tc>
        <w:tc>
          <w:tcPr>
            <w:tcW w:w="102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19658151051</w:t>
            </w:r>
          </w:p>
        </w:tc>
      </w:tr>
      <w:tr w:rsidR="003B0738" w:rsidRPr="00662052" w:rsidTr="00E47F0C">
        <w:trPr>
          <w:trHeight w:val="253"/>
        </w:trPr>
        <w:tc>
          <w:tcPr>
            <w:tcW w:w="32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99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2052" w:rsidRPr="00A85A2B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62052" w:rsidRPr="00662052" w:rsidTr="00E47F0C">
        <w:trPr>
          <w:trHeight w:val="22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Периодичность: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месячная, квартальная, годовая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62052" w:rsidRPr="00662052" w:rsidTr="00E47F0C">
        <w:trPr>
          <w:trHeight w:val="223"/>
        </w:trPr>
        <w:tc>
          <w:tcPr>
            <w:tcW w:w="3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Единица измерения: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3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5A2B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5A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</w:t>
            </w:r>
          </w:p>
        </w:tc>
      </w:tr>
      <w:tr w:rsidR="00662052" w:rsidRPr="00662052" w:rsidTr="00E47F0C">
        <w:trPr>
          <w:trHeight w:val="22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E47F0C">
        <w:trPr>
          <w:trHeight w:val="22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E47F0C">
        <w:trPr>
          <w:trHeight w:val="223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C911E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Раздел 1 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Организационная структура субъекта бюджетной отчетности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E47F0C">
        <w:trPr>
          <w:trHeight w:val="22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E47F0C">
        <w:trPr>
          <w:trHeight w:val="1740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908" w:rsidRDefault="00662052" w:rsidP="00C620B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proofErr w:type="gramStart"/>
            <w:r w:rsidR="00FD3908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муниципальной собственности </w:t>
            </w:r>
            <w:r w:rsidR="00DA74C6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 является органом местного самоуправления Шексни</w:t>
            </w:r>
            <w:r w:rsidR="009062C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района, осуществляющи</w:t>
            </w:r>
            <w:r w:rsidR="00C620BB">
              <w:rPr>
                <w:rFonts w:ascii="Times New Roman" w:eastAsia="Times New Roman" w:hAnsi="Times New Roman" w:cs="Times New Roman"/>
                <w:lang w:eastAsia="ru-RU"/>
              </w:rPr>
              <w:t xml:space="preserve">й собственные 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>полномочия по</w:t>
            </w:r>
            <w:r w:rsidR="00C620BB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D3908">
              <w:rPr>
                <w:rFonts w:ascii="Times New Roman" w:eastAsia="Times New Roman" w:hAnsi="Times New Roman" w:cs="Times New Roman"/>
                <w:lang w:eastAsia="ru-RU"/>
              </w:rPr>
              <w:t>исполнению возложенных полномочий по управлению и распоряжению имуществом, находящимся в собственности</w:t>
            </w:r>
            <w:r w:rsidR="00FD3908" w:rsidRPr="009062C0">
              <w:rPr>
                <w:rFonts w:ascii="Times New Roman" w:eastAsia="Times New Roman" w:hAnsi="Times New Roman" w:cs="Times New Roman"/>
                <w:lang w:eastAsia="ru-RU"/>
              </w:rPr>
              <w:t xml:space="preserve"> Шекснинского муниципального района</w:t>
            </w:r>
            <w:r w:rsidR="00FD3908">
              <w:rPr>
                <w:rFonts w:ascii="Times New Roman" w:eastAsia="Times New Roman" w:hAnsi="Times New Roman" w:cs="Times New Roman"/>
                <w:lang w:eastAsia="ru-RU"/>
              </w:rPr>
              <w:t>, в соответствии с порядком, установленным Представительным Собранием района; ведению реестров муниципального имущества в порядке, установленном уполномоченным Правительством Российской Федерации федеральным органом исполнительной власти;</w:t>
            </w:r>
            <w:proofErr w:type="gramEnd"/>
            <w:r w:rsidR="00FD3908">
              <w:rPr>
                <w:rFonts w:ascii="Times New Roman" w:eastAsia="Times New Roman" w:hAnsi="Times New Roman" w:cs="Times New Roman"/>
                <w:lang w:eastAsia="ru-RU"/>
              </w:rPr>
              <w:t xml:space="preserve"> а также иные полномочия в соответствии с положением об управлении муниципальной собственности </w:t>
            </w:r>
            <w:r w:rsidR="002D3F46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FD3908" w:rsidRPr="00FD3908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  <w:r w:rsidR="00FD390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62052" w:rsidRPr="00662052" w:rsidRDefault="00662052" w:rsidP="00944D2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Полномочия по ведению бухгалтерского </w:t>
            </w:r>
            <w:proofErr w:type="gramStart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учета </w:t>
            </w:r>
            <w:r w:rsidR="00FD3908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Управления муниципальной собственности </w:t>
            </w:r>
            <w:r w:rsidR="00C620B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A74C6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  <w:proofErr w:type="gramEnd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переданы Казенному учреждению Шекснинского муниципального района 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Централизованная бухгалтерия по обслуживанию муниципальных учреждений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на основании </w:t>
            </w:r>
            <w:r w:rsidR="00944D28">
              <w:rPr>
                <w:rFonts w:ascii="Times New Roman" w:eastAsia="Times New Roman" w:hAnsi="Times New Roman" w:cs="Times New Roman"/>
                <w:lang w:eastAsia="ru-RU"/>
              </w:rPr>
              <w:t>соглашения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о бухгалтерском обслуживании 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944D28"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>от 01.</w:t>
            </w:r>
            <w:r w:rsidR="00944D28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944D2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. Ответственный за составление бухгалтерской отчетности является главный бухгалтер КУ ШМР 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ЦБУ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Кунина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Ирина Михайловна.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</w:tc>
      </w:tr>
      <w:tr w:rsidR="00662052" w:rsidRPr="00662052" w:rsidTr="00E47F0C">
        <w:trPr>
          <w:trHeight w:val="150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E47F0C">
        <w:trPr>
          <w:trHeight w:val="233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1F6B" w:rsidRDefault="00C911E0" w:rsidP="00271F6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Раздел 2 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Результаты деятельности субъекта бюджетной 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71F6B" w:rsidRDefault="00271F6B" w:rsidP="00271F6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71F6B" w:rsidRDefault="00AC1A3A" w:rsidP="00271F6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Форма </w:t>
            </w:r>
            <w:r w:rsidR="00271F6B" w:rsidRPr="002C294E">
              <w:rPr>
                <w:rFonts w:ascii="Times New Roman" w:eastAsia="Times New Roman" w:hAnsi="Times New Roman" w:cs="Times New Roman"/>
                <w:lang w:eastAsia="ru-RU"/>
              </w:rPr>
              <w:t xml:space="preserve">0503127 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>«Отчет об исполнении бюджета главного распорядителя бюджетных средств».</w:t>
            </w:r>
          </w:p>
          <w:p w:rsidR="00662052" w:rsidRPr="00662052" w:rsidRDefault="00AC1A3A" w:rsidP="00CD2A6A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proofErr w:type="gramStart"/>
            <w:r w:rsidR="00271F6B">
              <w:rPr>
                <w:rFonts w:ascii="Times New Roman" w:eastAsia="Times New Roman" w:hAnsi="Times New Roman" w:cs="Times New Roman"/>
                <w:lang w:eastAsia="ru-RU"/>
              </w:rPr>
              <w:t>Доходы за 202</w:t>
            </w:r>
            <w:r w:rsidR="001B405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 год, полученные в результате деятельности Управления муниципальной собственности, составляют </w:t>
            </w:r>
            <w:r w:rsidR="004A7B88">
              <w:rPr>
                <w:rFonts w:ascii="Times New Roman" w:eastAsia="Times New Roman" w:hAnsi="Times New Roman" w:cs="Times New Roman"/>
                <w:lang w:eastAsia="ru-RU"/>
              </w:rPr>
              <w:t>32148805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4A7B8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коп.: </w:t>
            </w:r>
            <w:r w:rsidR="00271F6B" w:rsidRPr="00F83AFE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 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в сумме </w:t>
            </w:r>
            <w:r w:rsidR="004A7B88">
              <w:rPr>
                <w:rFonts w:ascii="Times New Roman" w:eastAsia="Times New Roman" w:hAnsi="Times New Roman" w:cs="Times New Roman"/>
                <w:lang w:eastAsia="ru-RU"/>
              </w:rPr>
              <w:t>9580660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4A7B8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коп.; д</w:t>
            </w:r>
            <w:r w:rsidR="00271F6B" w:rsidRPr="004A1639">
              <w:rPr>
                <w:rFonts w:ascii="Times New Roman" w:eastAsia="Times New Roman" w:hAnsi="Times New Roman" w:cs="Times New Roman"/>
                <w:lang w:eastAsia="ru-RU"/>
              </w:rPr>
              <w:t>оходы, получаемые в виде арендной платы, а также средства от</w:t>
            </w:r>
            <w:proofErr w:type="gramEnd"/>
            <w:r w:rsidR="00271F6B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271F6B" w:rsidRPr="004A1639">
              <w:rPr>
                <w:rFonts w:ascii="Times New Roman" w:eastAsia="Times New Roman" w:hAnsi="Times New Roman" w:cs="Times New Roman"/>
                <w:lang w:eastAsia="ru-RU"/>
              </w:rPr>
              <w:t>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71F6B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в сумме </w:t>
            </w:r>
            <w:r w:rsidR="00987852">
              <w:rPr>
                <w:rFonts w:ascii="Times New Roman" w:eastAsia="Times New Roman" w:hAnsi="Times New Roman" w:cs="Times New Roman"/>
                <w:lang w:eastAsia="ru-RU"/>
              </w:rPr>
              <w:t>789591</w:t>
            </w:r>
            <w:r w:rsidR="00271F6B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987852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271F6B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271F6B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 w:rsidR="00271F6B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оходы от сдачи в аренду имущества, составляющего казну муниципальных районов (за исключением </w:t>
            </w:r>
            <w:r w:rsidR="006747B3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земельных участков) в сумме </w:t>
            </w:r>
            <w:r w:rsidR="001F7764">
              <w:rPr>
                <w:rFonts w:ascii="Times New Roman" w:eastAsia="Times New Roman" w:hAnsi="Times New Roman" w:cs="Times New Roman"/>
                <w:lang w:eastAsia="ru-RU"/>
              </w:rPr>
              <w:t>1933118</w:t>
            </w:r>
            <w:r w:rsidR="006747B3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F7764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  <w:r w:rsidR="006747B3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8334C4">
              <w:rPr>
                <w:rFonts w:ascii="Times New Roman" w:hAnsi="Times New Roman" w:cs="Times New Roman"/>
              </w:rPr>
              <w:t xml:space="preserve"> п</w:t>
            </w:r>
            <w:r w:rsidR="008334C4" w:rsidRPr="004A1639">
              <w:rPr>
                <w:rFonts w:ascii="Times New Roman" w:eastAsia="Times New Roman" w:hAnsi="Times New Roman" w:cs="Times New Roman"/>
                <w:lang w:eastAsia="ru-RU"/>
              </w:rPr>
              <w:t>лата по соглашениям об установлении сервитута в отношении земельных участков, находящихся в</w:t>
            </w:r>
            <w:proofErr w:type="gramEnd"/>
            <w:r w:rsidR="008334C4" w:rsidRPr="004A1639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государственной или муниципальной собственности</w:t>
            </w:r>
            <w:r w:rsidR="008334C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334C4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в сумме </w:t>
            </w:r>
            <w:r w:rsidR="00CD2A6A">
              <w:rPr>
                <w:rFonts w:ascii="Times New Roman" w:eastAsia="Times New Roman" w:hAnsi="Times New Roman" w:cs="Times New Roman"/>
                <w:lang w:eastAsia="ru-RU"/>
              </w:rPr>
              <w:t>3681</w:t>
            </w:r>
            <w:r w:rsidR="008334C4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CD2A6A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="008334C4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="008334C4" w:rsidRPr="00DE7FCE">
              <w:rPr>
                <w:rFonts w:ascii="Times New Roman" w:eastAsia="Times New Roman" w:hAnsi="Times New Roman" w:cs="Times New Roman"/>
                <w:lang w:eastAsia="ru-RU"/>
              </w:rPr>
              <w:t>.;</w:t>
            </w:r>
            <w:proofErr w:type="gramEnd"/>
          </w:p>
        </w:tc>
      </w:tr>
      <w:tr w:rsidR="00662052" w:rsidRPr="00662052" w:rsidTr="00E47F0C">
        <w:trPr>
          <w:trHeight w:val="135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E47F0C">
        <w:trPr>
          <w:trHeight w:val="13746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1A3A" w:rsidRDefault="00DE7FCE" w:rsidP="004A1639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Pr="00DE7FCE">
              <w:rPr>
                <w:rFonts w:ascii="Times New Roman" w:eastAsia="Times New Roman" w:hAnsi="Times New Roman" w:cs="Times New Roman"/>
                <w:lang w:eastAsia="ru-RU"/>
              </w:rPr>
              <w:t>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в сумме </w:t>
            </w:r>
            <w:r w:rsidR="002A4792">
              <w:rPr>
                <w:rFonts w:ascii="Times New Roman" w:eastAsia="Times New Roman" w:hAnsi="Times New Roman" w:cs="Times New Roman"/>
                <w:lang w:eastAsia="ru-RU"/>
              </w:rPr>
              <w:t>1373479</w:t>
            </w:r>
            <w:r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2A4792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  <w:r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8235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D2CC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5D2CCA" w:rsidRPr="005D2CCA">
              <w:rPr>
                <w:rFonts w:ascii="Times New Roman" w:eastAsia="Times New Roman" w:hAnsi="Times New Roman" w:cs="Times New Roman"/>
                <w:lang w:eastAsia="ru-RU"/>
              </w:rPr>
              <w:t>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</w:t>
            </w:r>
            <w:proofErr w:type="gramEnd"/>
            <w:r w:rsidR="005D2CCA" w:rsidRPr="005D2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5D2CCA" w:rsidRPr="005D2CCA">
              <w:rPr>
                <w:rFonts w:ascii="Times New Roman" w:eastAsia="Times New Roman" w:hAnsi="Times New Roman" w:cs="Times New Roman"/>
                <w:lang w:eastAsia="ru-RU"/>
              </w:rPr>
              <w:t>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  <w:r w:rsidR="005D2CCA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</w:t>
            </w:r>
            <w:r w:rsidR="003B57AB">
              <w:rPr>
                <w:rFonts w:ascii="Times New Roman" w:eastAsia="Times New Roman" w:hAnsi="Times New Roman" w:cs="Times New Roman"/>
                <w:lang w:eastAsia="ru-RU"/>
              </w:rPr>
              <w:t>211742</w:t>
            </w:r>
            <w:r w:rsidR="005D2CCA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3B57AB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="005D2CCA">
              <w:rPr>
                <w:rFonts w:ascii="Times New Roman" w:eastAsia="Times New Roman" w:hAnsi="Times New Roman" w:cs="Times New Roman"/>
                <w:lang w:eastAsia="ru-RU"/>
              </w:rPr>
              <w:t xml:space="preserve"> коп.; </w:t>
            </w:r>
            <w:r w:rsidR="00AF67E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AF67E2" w:rsidRPr="00AF67E2">
              <w:rPr>
                <w:rFonts w:ascii="Times New Roman" w:eastAsia="Times New Roman" w:hAnsi="Times New Roman" w:cs="Times New Roman"/>
                <w:lang w:eastAsia="ru-RU"/>
              </w:rPr>
              <w:t>рочие доходы от компенсации затрат бюджетов муниципальных районов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</w:t>
            </w:r>
            <w:r w:rsidR="00C8374F">
              <w:rPr>
                <w:rFonts w:ascii="Times New Roman" w:eastAsia="Times New Roman" w:hAnsi="Times New Roman" w:cs="Times New Roman"/>
                <w:lang w:eastAsia="ru-RU"/>
              </w:rPr>
              <w:t>373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C8374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823548" w:rsidRPr="00823548">
              <w:rPr>
                <w:rFonts w:ascii="Times New Roman" w:eastAsia="Times New Roman" w:hAnsi="Times New Roman" w:cs="Times New Roman"/>
                <w:lang w:eastAsia="ru-RU"/>
              </w:rPr>
              <w:t xml:space="preserve"> доходы от реализации имущества, находящегося в государственной и муниципальной собственности </w:t>
            </w:r>
            <w:r w:rsidR="00823548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в сумме </w:t>
            </w:r>
            <w:r w:rsidR="00250D27">
              <w:rPr>
                <w:rFonts w:ascii="Times New Roman" w:eastAsia="Times New Roman" w:hAnsi="Times New Roman" w:cs="Times New Roman"/>
                <w:lang w:eastAsia="ru-RU"/>
              </w:rPr>
              <w:t>3182379</w:t>
            </w:r>
            <w:r w:rsidR="00823548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250D27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  <w:r w:rsidR="00823548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823548" w:rsidRPr="008235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3744F7" w:rsidRPr="003744F7">
              <w:rPr>
                <w:rFonts w:ascii="Times New Roman" w:eastAsia="Times New Roman" w:hAnsi="Times New Roman" w:cs="Times New Roman"/>
                <w:lang w:eastAsia="ru-RU"/>
              </w:rPr>
              <w:t>оходы от продажи земельных участков, государственная собственность на</w:t>
            </w:r>
            <w:proofErr w:type="gramEnd"/>
            <w:r w:rsidR="003744F7" w:rsidRPr="003744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3744F7" w:rsidRPr="003744F7">
              <w:rPr>
                <w:rFonts w:ascii="Times New Roman" w:eastAsia="Times New Roman" w:hAnsi="Times New Roman" w:cs="Times New Roman"/>
                <w:lang w:eastAsia="ru-RU"/>
              </w:rPr>
              <w:t>которые не разграничена и которые расположены в границах сельских поселений и межселенных территорий муниципальных районов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</w:t>
            </w:r>
            <w:r w:rsidR="006E08AE">
              <w:rPr>
                <w:rFonts w:ascii="Times New Roman" w:eastAsia="Times New Roman" w:hAnsi="Times New Roman" w:cs="Times New Roman"/>
                <w:lang w:eastAsia="ru-RU"/>
              </w:rPr>
              <w:t>13009952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E08AE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AC1A3A" w:rsidRPr="00AC1A3A">
              <w:rPr>
                <w:rFonts w:ascii="Times New Roman" w:eastAsia="Times New Roman" w:hAnsi="Times New Roman" w:cs="Times New Roman"/>
                <w:lang w:eastAsia="ru-RU"/>
              </w:rPr>
              <w:t>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</w:t>
            </w:r>
            <w:r w:rsidR="006E08AE">
              <w:rPr>
                <w:rFonts w:ascii="Times New Roman" w:eastAsia="Times New Roman" w:hAnsi="Times New Roman" w:cs="Times New Roman"/>
                <w:lang w:eastAsia="ru-RU"/>
              </w:rPr>
              <w:t>2114181</w:t>
            </w:r>
            <w:r w:rsidR="00823548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E08AE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="00823548" w:rsidRPr="00DE7FCE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823548" w:rsidRPr="008235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AC1A3A" w:rsidRPr="00AC1A3A">
              <w:rPr>
                <w:rFonts w:ascii="Times New Roman" w:eastAsia="Times New Roman" w:hAnsi="Times New Roman" w:cs="Times New Roman"/>
                <w:lang w:eastAsia="ru-RU"/>
              </w:rPr>
              <w:t>евыясненные поступления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</w:t>
            </w:r>
            <w:r w:rsidR="006E08AE">
              <w:rPr>
                <w:rFonts w:ascii="Times New Roman" w:eastAsia="Times New Roman" w:hAnsi="Times New Roman" w:cs="Times New Roman"/>
                <w:lang w:eastAsia="ru-RU"/>
              </w:rPr>
              <w:t>- 56348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E08A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 xml:space="preserve">7 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коп.</w:t>
            </w:r>
            <w:r w:rsidR="00AC1A3A" w:rsidRPr="00AC1A3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AC1A3A" w:rsidRPr="00AC1A3A">
              <w:rPr>
                <w:rFonts w:ascii="Times New Roman" w:eastAsia="Times New Roman" w:hAnsi="Times New Roman" w:cs="Times New Roman"/>
                <w:lang w:eastAsia="ru-RU"/>
              </w:rPr>
              <w:t>рочие неналоговые доходы бюджетов муниципальных районов</w:t>
            </w:r>
            <w:proofErr w:type="gramEnd"/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в сумме </w:t>
            </w:r>
            <w:r w:rsidR="006E08AE">
              <w:rPr>
                <w:rFonts w:ascii="Times New Roman" w:eastAsia="Times New Roman" w:hAnsi="Times New Roman" w:cs="Times New Roman"/>
                <w:lang w:eastAsia="ru-RU"/>
              </w:rPr>
              <w:t>5993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E08A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3744F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085999" w:rsidRDefault="00AC1A3A" w:rsidP="004A3948">
            <w:pPr>
              <w:shd w:val="clear" w:color="auto" w:fill="FFFFFF" w:themeFill="background1"/>
              <w:spacing w:after="0" w:line="240" w:lineRule="auto"/>
              <w:ind w:left="34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</w:t>
            </w:r>
            <w:proofErr w:type="gramStart"/>
            <w:r w:rsidR="00CD51A7" w:rsidRPr="00CD51A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CD51A7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51A7" w:rsidRPr="00862F2D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 w:rsidR="00CD51A7" w:rsidRPr="00DB1C3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CD51A7"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D51A7" w:rsidRPr="00823548">
              <w:rPr>
                <w:rFonts w:ascii="Times New Roman" w:eastAsia="Times New Roman" w:hAnsi="Times New Roman" w:cs="Times New Roman"/>
                <w:lang w:eastAsia="ru-RU"/>
              </w:rPr>
              <w:t>муниципальной собственности</w:t>
            </w:r>
            <w:r w:rsidR="006D349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</w:t>
            </w:r>
            <w:r w:rsidR="00CD51A7" w:rsidRPr="00CD51A7">
              <w:rPr>
                <w:rFonts w:ascii="Times New Roman" w:eastAsia="Times New Roman" w:hAnsi="Times New Roman" w:cs="Times New Roman"/>
                <w:lang w:eastAsia="ru-RU"/>
              </w:rPr>
              <w:t>ШМР за 202</w:t>
            </w:r>
            <w:r w:rsidR="006A789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CD51A7" w:rsidRPr="00CD51A7">
              <w:rPr>
                <w:rFonts w:ascii="Times New Roman" w:eastAsia="Times New Roman" w:hAnsi="Times New Roman" w:cs="Times New Roman"/>
                <w:lang w:eastAsia="ru-RU"/>
              </w:rPr>
              <w:t xml:space="preserve"> год прошли расходы по: 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«Экономическое развитие Шекснинского муниципального района на 20</w:t>
            </w:r>
            <w:r w:rsidR="005F1584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>-202</w:t>
            </w:r>
            <w:r w:rsidR="005F158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годы», подпрограмма «Обеспечение реализации муниципальной программы»,</w:t>
            </w:r>
            <w:r w:rsidR="00085999">
              <w:t xml:space="preserve"> </w:t>
            </w:r>
            <w:r w:rsidR="00085999" w:rsidRPr="00085999">
              <w:t>о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>сновное мероприятие «</w:t>
            </w:r>
            <w:r w:rsidR="005F1584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выполнение 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>функций муниципальны</w:t>
            </w:r>
            <w:r w:rsidR="005F1584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орган</w:t>
            </w:r>
            <w:r w:rsidR="005F1584">
              <w:rPr>
                <w:rFonts w:ascii="Times New Roman" w:eastAsia="Times New Roman" w:hAnsi="Times New Roman" w:cs="Times New Roman"/>
                <w:lang w:eastAsia="ru-RU"/>
              </w:rPr>
              <w:t>ов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» - </w:t>
            </w:r>
            <w:r w:rsidR="00C341A8">
              <w:rPr>
                <w:rFonts w:ascii="Times New Roman" w:eastAsia="Times New Roman" w:hAnsi="Times New Roman" w:cs="Times New Roman"/>
                <w:lang w:eastAsia="ru-RU"/>
              </w:rPr>
              <w:t>9274586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C341A8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коп.; </w:t>
            </w:r>
            <w:r w:rsidR="00085999" w:rsidRPr="00387C0A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</w:t>
            </w:r>
            <w:r w:rsidR="00D478EB" w:rsidRPr="00387C0A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085999" w:rsidRPr="00387C0A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Совершенствование системы управления и распоряжения земельно-имущественным комплексом района» - </w:t>
            </w:r>
            <w:r w:rsidR="00387C0A" w:rsidRPr="00387C0A">
              <w:rPr>
                <w:rFonts w:ascii="Times New Roman" w:eastAsia="Times New Roman" w:hAnsi="Times New Roman" w:cs="Times New Roman"/>
                <w:lang w:eastAsia="ru-RU"/>
              </w:rPr>
              <w:t>3942810</w:t>
            </w:r>
            <w:r w:rsidR="00085999" w:rsidRPr="00387C0A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387C0A" w:rsidRPr="00387C0A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="007E46FE" w:rsidRPr="00387C0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85999" w:rsidRPr="00387C0A">
              <w:rPr>
                <w:rFonts w:ascii="Times New Roman" w:eastAsia="Times New Roman" w:hAnsi="Times New Roman" w:cs="Times New Roman"/>
                <w:lang w:eastAsia="ru-RU"/>
              </w:rPr>
              <w:t>коп.;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</w:t>
            </w:r>
            <w:r w:rsidR="005F1584" w:rsidRPr="005F1584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муниципального управления в Шекснинском муниципальном</w:t>
            </w:r>
            <w:proofErr w:type="gramEnd"/>
            <w:r w:rsidR="005F1584" w:rsidRPr="005F158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5F1584" w:rsidRPr="005F1584">
              <w:rPr>
                <w:rFonts w:ascii="Times New Roman" w:eastAsia="Times New Roman" w:hAnsi="Times New Roman" w:cs="Times New Roman"/>
                <w:lang w:eastAsia="ru-RU"/>
              </w:rPr>
              <w:t>районе на 2021-2025 годы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», подпрограмма </w:t>
            </w:r>
            <w:r w:rsidR="00A72E9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F1584" w:rsidRPr="005F1584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системы организации и функционирования муниципальной службы в органах местного самоуправления Шекснинского муниципального района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» - </w:t>
            </w:r>
            <w:r w:rsidR="009E28D1">
              <w:rPr>
                <w:rFonts w:ascii="Times New Roman" w:eastAsia="Times New Roman" w:hAnsi="Times New Roman" w:cs="Times New Roman"/>
                <w:lang w:eastAsia="ru-RU"/>
              </w:rPr>
              <w:t>115500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руб. 00 коп.; </w:t>
            </w:r>
            <w:r w:rsidR="00A72E9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A72E96" w:rsidRPr="00A72E96">
              <w:rPr>
                <w:rFonts w:ascii="Times New Roman" w:eastAsia="Times New Roman" w:hAnsi="Times New Roman" w:cs="Times New Roman"/>
                <w:lang w:eastAsia="ru-RU"/>
              </w:rPr>
              <w:t xml:space="preserve">одпрограмма </w:t>
            </w:r>
            <w:r w:rsidR="00A72E9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72E96" w:rsidRPr="00A72E96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и развитие кадрового потенциала в </w:t>
            </w:r>
            <w:r w:rsidR="00A72E96">
              <w:rPr>
                <w:rFonts w:ascii="Times New Roman" w:eastAsia="Times New Roman" w:hAnsi="Times New Roman" w:cs="Times New Roman"/>
                <w:lang w:eastAsia="ru-RU"/>
              </w:rPr>
              <w:t xml:space="preserve">Шекснинском муниципальном районе» - 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19136</w:t>
            </w:r>
            <w:r w:rsidR="00A72E96">
              <w:rPr>
                <w:rFonts w:ascii="Times New Roman" w:eastAsia="Times New Roman" w:hAnsi="Times New Roman" w:cs="Times New Roman"/>
                <w:lang w:eastAsia="ru-RU"/>
              </w:rPr>
              <w:t xml:space="preserve"> руб. 00 коп.; 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F1584" w:rsidRPr="005F1584">
              <w:rPr>
                <w:rFonts w:ascii="Times New Roman" w:eastAsia="Times New Roman" w:hAnsi="Times New Roman" w:cs="Times New Roman"/>
                <w:lang w:eastAsia="ru-RU"/>
              </w:rPr>
              <w:t>Дорожная сеть и  транспортное обслуживание Шекснинского муниципального района на 2021-2025 годы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, подпрограмма 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5F1584" w:rsidRPr="005F1584">
              <w:rPr>
                <w:rFonts w:ascii="Times New Roman" w:eastAsia="Times New Roman" w:hAnsi="Times New Roman" w:cs="Times New Roman"/>
                <w:lang w:eastAsia="ru-RU"/>
              </w:rPr>
              <w:t>Развитие сети автомобильных дорог общего пользования местного значения  Шек</w:t>
            </w:r>
            <w:r w:rsidR="00A72E96">
              <w:rPr>
                <w:rFonts w:ascii="Times New Roman" w:eastAsia="Times New Roman" w:hAnsi="Times New Roman" w:cs="Times New Roman"/>
                <w:lang w:eastAsia="ru-RU"/>
              </w:rPr>
              <w:t>снинского</w:t>
            </w:r>
            <w:proofErr w:type="gramEnd"/>
            <w:r w:rsidR="00A72E9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A72E96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A72E9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150000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085999" w:rsidRPr="00085999">
              <w:rPr>
                <w:rFonts w:ascii="Times New Roman" w:eastAsia="Times New Roman" w:hAnsi="Times New Roman" w:cs="Times New Roman"/>
                <w:lang w:eastAsia="ru-RU"/>
              </w:rPr>
              <w:t xml:space="preserve"> коп.; </w:t>
            </w:r>
            <w:r w:rsidR="00722D74" w:rsidRPr="00722D74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726B7B" w:rsidRPr="00726B7B">
              <w:rPr>
                <w:rFonts w:ascii="Times New Roman" w:eastAsia="Times New Roman" w:hAnsi="Times New Roman" w:cs="Times New Roman"/>
                <w:lang w:eastAsia="ru-RU"/>
              </w:rPr>
              <w:t>Обеспечение населения  Шекснинского муниципального района доступным жильем и создание благоприятных условий проживания на 2021 - 2025 годы</w:t>
            </w:r>
            <w:r w:rsidR="00D478E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722D74" w:rsidRPr="00722D74">
              <w:rPr>
                <w:rFonts w:ascii="Times New Roman" w:eastAsia="Times New Roman" w:hAnsi="Times New Roman" w:cs="Times New Roman"/>
                <w:lang w:eastAsia="ru-RU"/>
              </w:rPr>
              <w:t xml:space="preserve">, подпрограмма «Проведение ремонтов муниципального жилищного фонда», </w:t>
            </w:r>
            <w:r w:rsidR="00726B7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722D74" w:rsidRPr="00722D74">
              <w:rPr>
                <w:rFonts w:ascii="Times New Roman" w:eastAsia="Times New Roman" w:hAnsi="Times New Roman" w:cs="Times New Roman"/>
                <w:lang w:eastAsia="ru-RU"/>
              </w:rPr>
              <w:t xml:space="preserve">сновное мероприятие «Осуществление полномочий собственника муниципального фонда в части внесения взносов в фонд капитального ремонта» - </w:t>
            </w:r>
            <w:r w:rsidR="009E28D1">
              <w:rPr>
                <w:rFonts w:ascii="Times New Roman" w:eastAsia="Times New Roman" w:hAnsi="Times New Roman" w:cs="Times New Roman"/>
                <w:lang w:eastAsia="ru-RU"/>
              </w:rPr>
              <w:t>863404</w:t>
            </w:r>
            <w:r w:rsidR="00722D74" w:rsidRPr="00722D7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9E28D1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  <w:r w:rsidR="00B90A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22D74" w:rsidRPr="00722D74">
              <w:rPr>
                <w:rFonts w:ascii="Times New Roman" w:eastAsia="Times New Roman" w:hAnsi="Times New Roman" w:cs="Times New Roman"/>
                <w:lang w:eastAsia="ru-RU"/>
              </w:rPr>
              <w:t>коп.</w:t>
            </w:r>
            <w:r w:rsidR="00EC1ECA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r w:rsidR="004A394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726B7B" w:rsidRPr="00726B7B">
              <w:rPr>
                <w:rFonts w:ascii="Times New Roman" w:eastAsia="Times New Roman" w:hAnsi="Times New Roman" w:cs="Times New Roman"/>
                <w:lang w:eastAsia="ru-RU"/>
              </w:rPr>
              <w:t>оощрение за содействие достижению значений (уровней) показателей для оценки эффективности деятельности</w:t>
            </w:r>
            <w:proofErr w:type="gramEnd"/>
            <w:r w:rsidR="00726B7B" w:rsidRPr="00726B7B">
              <w:rPr>
                <w:rFonts w:ascii="Times New Roman" w:eastAsia="Times New Roman" w:hAnsi="Times New Roman" w:cs="Times New Roman"/>
                <w:lang w:eastAsia="ru-RU"/>
              </w:rPr>
              <w:t xml:space="preserve">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за счет средств межбюджетных трансфертов, предоставляемых из федерального бюджета за достижение </w:t>
            </w:r>
            <w:proofErr w:type="gramStart"/>
            <w:r w:rsidR="00726B7B" w:rsidRPr="00726B7B">
              <w:rPr>
                <w:rFonts w:ascii="Times New Roman" w:eastAsia="Times New Roman" w:hAnsi="Times New Roman" w:cs="Times New Roman"/>
                <w:lang w:eastAsia="ru-RU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 w:rsidR="00726B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85999" w:rsidRPr="0093445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составили </w:t>
            </w:r>
            <w:r w:rsidR="004A3948">
              <w:rPr>
                <w:rFonts w:ascii="Times New Roman" w:eastAsia="Times New Roman" w:hAnsi="Times New Roman" w:cs="Times New Roman"/>
                <w:lang w:eastAsia="ru-RU"/>
              </w:rPr>
              <w:t>75298</w:t>
            </w:r>
            <w:r w:rsidR="00085999" w:rsidRPr="00934452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726B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E5E43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 w:rsidR="00085999" w:rsidRPr="00934452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r w:rsidR="0008599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085999">
              <w:t xml:space="preserve"> </w:t>
            </w:r>
          </w:p>
          <w:p w:rsidR="00AC1A3A" w:rsidRPr="00D478EB" w:rsidRDefault="00B90A83" w:rsidP="00AC1A3A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В целях эффективного расходования бюджетных средств в </w:t>
            </w:r>
            <w:r w:rsidR="00AC1A3A" w:rsidRPr="00862F2D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AC1A3A"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C1A3A" w:rsidRPr="0082354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proofErr w:type="gramStart"/>
            <w:r w:rsidR="00AC1A3A" w:rsidRPr="00823548">
              <w:rPr>
                <w:rFonts w:ascii="Times New Roman" w:eastAsia="Times New Roman" w:hAnsi="Times New Roman" w:cs="Times New Roman"/>
                <w:lang w:eastAsia="ru-RU"/>
              </w:rPr>
              <w:t>собственности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7E4E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 процедуры закупок</w:t>
            </w:r>
            <w:proofErr w:type="gramEnd"/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товаров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работ и услуг осуществляются на конкурсной основе в порядке, предусмотренном Фед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еральным законом от 05.04.2013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№ 44-ФЗ 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>О контрактной системе в сфере закупок товаров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работ и услуг для обеспечения государственных и муниципальных нужд</w:t>
            </w:r>
            <w:r w:rsidR="00AC1A3A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AC1A3A"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AC1A3A" w:rsidRPr="00D478EB">
              <w:rPr>
                <w:rFonts w:ascii="Times New Roman" w:eastAsia="Times New Roman" w:hAnsi="Times New Roman" w:cs="Times New Roman"/>
                <w:lang w:eastAsia="ru-RU"/>
              </w:rPr>
              <w:t>Экономия по проведенным процедурам за 202</w:t>
            </w:r>
            <w:r w:rsidR="0067140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C1A3A" w:rsidRPr="00D478EB">
              <w:rPr>
                <w:rFonts w:ascii="Times New Roman" w:eastAsia="Times New Roman" w:hAnsi="Times New Roman" w:cs="Times New Roman"/>
                <w:lang w:eastAsia="ru-RU"/>
              </w:rPr>
              <w:t xml:space="preserve"> год составила </w:t>
            </w:r>
            <w:r w:rsidR="00671404">
              <w:rPr>
                <w:rFonts w:ascii="Times New Roman" w:eastAsia="Times New Roman" w:hAnsi="Times New Roman" w:cs="Times New Roman"/>
                <w:lang w:eastAsia="ru-RU"/>
              </w:rPr>
              <w:t>673403</w:t>
            </w:r>
            <w:r w:rsidR="00AC1A3A" w:rsidRPr="00D478E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71404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  <w:r w:rsidR="00AC1A3A" w:rsidRPr="00D478EB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3973C8" w:rsidRDefault="00271F6B" w:rsidP="003973C8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</w:t>
            </w:r>
          </w:p>
          <w:p w:rsidR="003973C8" w:rsidRPr="003973C8" w:rsidRDefault="003973C8" w:rsidP="00E47F0C">
            <w:pPr>
              <w:shd w:val="clear" w:color="auto" w:fill="FFFFFF" w:themeFill="background1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3973C8">
              <w:rPr>
                <w:rFonts w:ascii="Times New Roman" w:hAnsi="Times New Roman" w:cs="Times New Roman"/>
              </w:rPr>
              <w:t>Информация о реализации целевых показателей муниципальных программ, соисполнителем которых является Управление муниципальной собственности администрации района</w:t>
            </w:r>
          </w:p>
          <w:tbl>
            <w:tblPr>
              <w:tblStyle w:val="a5"/>
              <w:tblW w:w="9355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253"/>
              <w:gridCol w:w="708"/>
              <w:gridCol w:w="851"/>
              <w:gridCol w:w="992"/>
              <w:gridCol w:w="2126"/>
            </w:tblGrid>
            <w:tr w:rsidR="003973C8" w:rsidRPr="003973C8" w:rsidTr="003973C8">
              <w:trPr>
                <w:trHeight w:val="608"/>
                <w:tblHeader/>
              </w:trPr>
              <w:tc>
                <w:tcPr>
                  <w:tcW w:w="425" w:type="dxa"/>
                  <w:vMerge w:val="restart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73C8">
                    <w:rPr>
                      <w:rFonts w:ascii="Times New Roman" w:hAnsi="Times New Roman"/>
                    </w:rPr>
                    <w:t>№</w:t>
                  </w:r>
                </w:p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proofErr w:type="gramStart"/>
                  <w:r w:rsidRPr="003973C8">
                    <w:rPr>
                      <w:rFonts w:ascii="Times New Roman" w:hAnsi="Times New Roman"/>
                    </w:rPr>
                    <w:t>п</w:t>
                  </w:r>
                  <w:proofErr w:type="gramEnd"/>
                  <w:r w:rsidRPr="003973C8">
                    <w:rPr>
                      <w:rFonts w:ascii="Times New Roman" w:hAnsi="Times New Roman"/>
                    </w:rPr>
                    <w:t>/п</w:t>
                  </w:r>
                </w:p>
              </w:tc>
              <w:tc>
                <w:tcPr>
                  <w:tcW w:w="4253" w:type="dxa"/>
                  <w:vMerge w:val="restart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73C8">
                    <w:rPr>
                      <w:rFonts w:ascii="Times New Roman" w:hAnsi="Times New Roman"/>
                    </w:rPr>
                    <w:t>Наименование целевого показателя (индикатора)</w:t>
                  </w:r>
                </w:p>
              </w:tc>
              <w:tc>
                <w:tcPr>
                  <w:tcW w:w="708" w:type="dxa"/>
                  <w:vMerge w:val="restart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73C8">
                    <w:rPr>
                      <w:rFonts w:ascii="Times New Roman" w:hAnsi="Times New Roman"/>
                    </w:rPr>
                    <w:t>Ед. Измерения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73C8">
                    <w:rPr>
                      <w:rFonts w:ascii="Times New Roman" w:hAnsi="Times New Roman"/>
                    </w:rPr>
                    <w:t>Значения целевых показателей 2022г.</w:t>
                  </w:r>
                </w:p>
              </w:tc>
              <w:tc>
                <w:tcPr>
                  <w:tcW w:w="2126" w:type="dxa"/>
                  <w:vMerge w:val="restart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73C8">
                    <w:rPr>
                      <w:rFonts w:ascii="Times New Roman" w:hAnsi="Times New Roman"/>
                    </w:rPr>
                    <w:t>Обоснование значительных отклонений значений целевого показателя</w:t>
                  </w:r>
                </w:p>
              </w:tc>
            </w:tr>
            <w:tr w:rsidR="003973C8" w:rsidRPr="003973C8" w:rsidTr="003973C8">
              <w:trPr>
                <w:trHeight w:val="277"/>
                <w:tblHeader/>
              </w:trPr>
              <w:tc>
                <w:tcPr>
                  <w:tcW w:w="425" w:type="dxa"/>
                  <w:vMerge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253" w:type="dxa"/>
                  <w:vMerge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08" w:type="dxa"/>
                  <w:vMerge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73C8">
                    <w:rPr>
                      <w:rFonts w:ascii="Times New Roman" w:hAnsi="Times New Roman"/>
                    </w:rPr>
                    <w:t>план</w:t>
                  </w: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  <w:r w:rsidRPr="003973C8">
                    <w:rPr>
                      <w:rFonts w:ascii="Times New Roman" w:hAnsi="Times New Roman"/>
                    </w:rPr>
                    <w:t>факт</w:t>
                  </w:r>
                </w:p>
              </w:tc>
              <w:tc>
                <w:tcPr>
                  <w:tcW w:w="2126" w:type="dxa"/>
                  <w:vMerge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3973C8" w:rsidRPr="003973C8" w:rsidTr="003973C8">
              <w:trPr>
                <w:trHeight w:val="297"/>
              </w:trPr>
              <w:tc>
                <w:tcPr>
                  <w:tcW w:w="9355" w:type="dxa"/>
                  <w:gridSpan w:val="6"/>
                </w:tcPr>
                <w:p w:rsidR="003973C8" w:rsidRPr="003973C8" w:rsidRDefault="003973C8" w:rsidP="002F1808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1.Муниципальная программа «Экономическое развитие Шекснинского муниципального района на 2021 – 2025 годы»</w:t>
                  </w:r>
                </w:p>
              </w:tc>
            </w:tr>
            <w:tr w:rsidR="003973C8" w:rsidRPr="003973C8" w:rsidTr="003973C8">
              <w:trPr>
                <w:trHeight w:val="297"/>
              </w:trPr>
              <w:tc>
                <w:tcPr>
                  <w:tcW w:w="9355" w:type="dxa"/>
                  <w:gridSpan w:val="6"/>
                </w:tcPr>
                <w:p w:rsidR="003973C8" w:rsidRPr="003973C8" w:rsidRDefault="003973C8" w:rsidP="002F180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Подпрограмма 3 «Совершенствование системы управления и распоряжения земельно-имущественным комплексом  района»</w:t>
                  </w:r>
                </w:p>
              </w:tc>
            </w:tr>
            <w:tr w:rsidR="003973C8" w:rsidRPr="003973C8" w:rsidTr="003973C8">
              <w:trPr>
                <w:trHeight w:val="339"/>
              </w:trPr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 xml:space="preserve">доля объектов недвижимого имущества (в том числе земельных участков), учтенных в Реестре собственности района, право </w:t>
                  </w:r>
                  <w:proofErr w:type="gramStart"/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собственности</w:t>
                  </w:r>
                  <w:proofErr w:type="gramEnd"/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 xml:space="preserve"> на которые зарегистрировано в установленном порядке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%</w:t>
                  </w: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выполнен</w:t>
                  </w:r>
                </w:p>
              </w:tc>
            </w:tr>
            <w:tr w:rsidR="003973C8" w:rsidRPr="003973C8" w:rsidTr="003973C8"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количество проведенных проверок  использования муниципального имущества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шт.</w:t>
                  </w: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выполнен</w:t>
                  </w:r>
                </w:p>
              </w:tc>
            </w:tr>
            <w:tr w:rsidR="003973C8" w:rsidRPr="003973C8" w:rsidTr="003973C8"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доля земельных участков, реализованных на торгах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%</w:t>
                  </w: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выполнен</w:t>
                  </w:r>
                </w:p>
              </w:tc>
            </w:tr>
            <w:tr w:rsidR="003973C8" w:rsidRPr="003973C8" w:rsidTr="003973C8"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количество объектов невостребованного имущества, реализованных в процессе приватизации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шт.</w:t>
                  </w: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выполнен</w:t>
                  </w:r>
                </w:p>
              </w:tc>
            </w:tr>
            <w:tr w:rsidR="003973C8" w:rsidRPr="003973C8" w:rsidTr="003973C8"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 xml:space="preserve">объем поступлений от плана, зачисляемых в бюджет района от продажи и аренды муниципального имущества и земельных участков 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%</w:t>
                  </w: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выполнен</w:t>
                  </w:r>
                </w:p>
              </w:tc>
            </w:tr>
            <w:tr w:rsidR="003973C8" w:rsidRPr="003973C8" w:rsidTr="003973C8"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6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Количество земельных участков, в отношении которых проведены кадастровые работы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шт.</w:t>
                  </w: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не выполнен</w:t>
                  </w:r>
                </w:p>
              </w:tc>
            </w:tr>
            <w:tr w:rsidR="003973C8" w:rsidRPr="003973C8" w:rsidTr="003973C8"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7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Количество семей, имеющих трех и более детей, получивших единовременную денежную выплату взамен предоставления земельного участка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шт.</w:t>
                  </w:r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не выполнен, всем обратившимся за выплатой была выплачена компенсация</w:t>
                  </w:r>
                </w:p>
              </w:tc>
            </w:tr>
            <w:tr w:rsidR="003973C8" w:rsidRPr="003973C8" w:rsidTr="003973C8">
              <w:trPr>
                <w:trHeight w:val="297"/>
              </w:trPr>
              <w:tc>
                <w:tcPr>
                  <w:tcW w:w="9355" w:type="dxa"/>
                  <w:gridSpan w:val="6"/>
                </w:tcPr>
                <w:p w:rsidR="003973C8" w:rsidRPr="003973C8" w:rsidRDefault="003973C8" w:rsidP="002F1808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2.Муниципальная программа «Обеспечение населения Шекснинского муниципального района доступным жильем и создание благоприятных условий проживания на 2021-2025 годы»</w:t>
                  </w:r>
                </w:p>
              </w:tc>
            </w:tr>
            <w:tr w:rsidR="003973C8" w:rsidRPr="003973C8" w:rsidTr="003973C8">
              <w:trPr>
                <w:trHeight w:val="297"/>
              </w:trPr>
              <w:tc>
                <w:tcPr>
                  <w:tcW w:w="9355" w:type="dxa"/>
                  <w:gridSpan w:val="6"/>
                </w:tcPr>
                <w:p w:rsidR="003973C8" w:rsidRPr="003973C8" w:rsidRDefault="003973C8" w:rsidP="002F1808">
                  <w:pPr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Подпрограмма 2 «</w:t>
                  </w:r>
                  <w:r w:rsidRPr="003973C8">
                    <w:rPr>
                      <w:rFonts w:ascii="Times New Roman" w:hAnsi="Times New Roman" w:cs="Times New Roman"/>
                    </w:rPr>
                    <w:t>Проведение ремонтов муниципального жилищного фонда</w:t>
                  </w: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»</w:t>
                  </w:r>
                </w:p>
              </w:tc>
            </w:tr>
            <w:tr w:rsidR="003973C8" w:rsidRPr="003973C8" w:rsidTr="003973C8">
              <w:trPr>
                <w:trHeight w:val="339"/>
              </w:trPr>
              <w:tc>
                <w:tcPr>
                  <w:tcW w:w="425" w:type="dxa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4253" w:type="dxa"/>
                </w:tcPr>
                <w:p w:rsidR="003973C8" w:rsidRPr="003973C8" w:rsidRDefault="003973C8" w:rsidP="002F1808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Уровень возмещения затрат на осуществление полномочий собственника муниципального жилищного фонда в части внесения взносов в Фонд капитального ремонта общего имущества собственников жилых помещений в многоквартирных домах.</w:t>
                  </w:r>
                </w:p>
              </w:tc>
              <w:tc>
                <w:tcPr>
                  <w:tcW w:w="708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тыс</w:t>
                  </w:r>
                  <w:proofErr w:type="gramStart"/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.р</w:t>
                  </w:r>
                  <w:proofErr w:type="gramEnd"/>
                  <w:r w:rsidRPr="003973C8">
                    <w:rPr>
                      <w:rFonts w:ascii="Times New Roman" w:hAnsi="Times New Roman" w:cs="Times New Roman"/>
                      <w:color w:val="000000"/>
                    </w:rPr>
                    <w:t>уб</w:t>
                  </w:r>
                  <w:proofErr w:type="spellEnd"/>
                </w:p>
              </w:tc>
              <w:tc>
                <w:tcPr>
                  <w:tcW w:w="851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126" w:type="dxa"/>
                  <w:vAlign w:val="center"/>
                </w:tcPr>
                <w:p w:rsidR="003973C8" w:rsidRPr="003973C8" w:rsidRDefault="003973C8" w:rsidP="002F180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3973C8">
                    <w:rPr>
                      <w:rFonts w:ascii="Times New Roman" w:hAnsi="Times New Roman" w:cs="Times New Roman"/>
                    </w:rPr>
                    <w:t>Показатель выполнен</w:t>
                  </w:r>
                </w:p>
              </w:tc>
            </w:tr>
          </w:tbl>
          <w:p w:rsidR="00BA21AB" w:rsidRPr="003973C8" w:rsidRDefault="00BA21AB" w:rsidP="008C6558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71F6B" w:rsidRDefault="00271F6B" w:rsidP="00BA21AB">
            <w:pPr>
              <w:shd w:val="clear" w:color="auto" w:fill="FFFFFF" w:themeFill="background1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Раздел 3 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Анализ отчета об исполнении бюджета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71F6B" w:rsidRPr="00271F6B" w:rsidRDefault="00271F6B" w:rsidP="00591748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В течение 202</w:t>
            </w:r>
            <w:r w:rsidR="00671404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года на основании решения Представительного Собрания Шекснинского муниципального района в бюджетную роспись Управления муниципальной собственности </w:t>
            </w:r>
            <w:r w:rsidR="00147DEF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ШМР вносились изменения  на сумму </w:t>
            </w:r>
            <w:r w:rsidR="003F5264">
              <w:rPr>
                <w:rFonts w:ascii="Times New Roman" w:eastAsia="Times New Roman" w:hAnsi="Times New Roman" w:cs="Times New Roman"/>
                <w:lang w:eastAsia="ru-RU"/>
              </w:rPr>
              <w:t>2476658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3F5264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ервоначальный бюджет    </w:t>
            </w:r>
            <w:r w:rsidR="003F5264">
              <w:rPr>
                <w:rFonts w:ascii="Times New Roman" w:eastAsia="Times New Roman" w:hAnsi="Times New Roman" w:cs="Times New Roman"/>
                <w:lang w:eastAsia="ru-RU"/>
              </w:rPr>
              <w:t>12559550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00 коп.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уточненный бю</w:t>
            </w:r>
            <w:r w:rsidR="00591748">
              <w:rPr>
                <w:rFonts w:ascii="Times New Roman" w:eastAsia="Times New Roman" w:hAnsi="Times New Roman" w:cs="Times New Roman"/>
                <w:lang w:eastAsia="ru-RU"/>
              </w:rPr>
              <w:t xml:space="preserve">джет </w:t>
            </w:r>
            <w:r w:rsidR="008D61E7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="003F5264">
              <w:rPr>
                <w:rFonts w:ascii="Times New Roman" w:eastAsia="Times New Roman" w:hAnsi="Times New Roman" w:cs="Times New Roman"/>
                <w:lang w:eastAsia="ru-RU"/>
              </w:rPr>
              <w:t>15036208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3F5264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71F6B" w:rsidRDefault="00271F6B" w:rsidP="00271F6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Форма 0503164 «Сведения об исполнении бюджета».</w:t>
            </w: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71F6B" w:rsidRDefault="00271F6B" w:rsidP="00271F6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Доходы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бюджета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23548">
              <w:rPr>
                <w:rFonts w:ascii="Times New Roman" w:eastAsia="Times New Roman" w:hAnsi="Times New Roman" w:cs="Times New Roman"/>
                <w:lang w:eastAsia="ru-RU"/>
              </w:rPr>
              <w:t>муниципальной собственности</w:t>
            </w:r>
            <w:r w:rsidR="00377E4E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</w:t>
            </w:r>
            <w:r w:rsidRPr="00CD51A7">
              <w:rPr>
                <w:rFonts w:ascii="Times New Roman" w:eastAsia="Times New Roman" w:hAnsi="Times New Roman" w:cs="Times New Roman"/>
                <w:lang w:eastAsia="ru-RU"/>
              </w:rPr>
              <w:t xml:space="preserve"> ШМР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</w:t>
            </w:r>
            <w:r w:rsidR="001509A1">
              <w:rPr>
                <w:rFonts w:ascii="Times New Roman" w:eastAsia="Times New Roman" w:hAnsi="Times New Roman" w:cs="Times New Roman"/>
                <w:lang w:eastAsia="ru-RU"/>
              </w:rPr>
              <w:t>31924200</w:t>
            </w: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 руб. 00 коп</w:t>
            </w:r>
            <w:proofErr w:type="gramStart"/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исполнено </w:t>
            </w:r>
            <w:r w:rsidR="001509A1">
              <w:rPr>
                <w:rFonts w:ascii="Times New Roman" w:eastAsia="Times New Roman" w:hAnsi="Times New Roman" w:cs="Times New Roman"/>
                <w:lang w:eastAsia="ru-RU"/>
              </w:rPr>
              <w:t>32148805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509A1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коп.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что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составляет </w:t>
            </w:r>
            <w:r w:rsidR="008C738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 w:rsidR="001D0CC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93215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%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годового назначения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71F6B" w:rsidRDefault="00271F6B" w:rsidP="00271F6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бюджета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23548">
              <w:rPr>
                <w:rFonts w:ascii="Times New Roman" w:eastAsia="Times New Roman" w:hAnsi="Times New Roman" w:cs="Times New Roman"/>
                <w:lang w:eastAsia="ru-RU"/>
              </w:rPr>
              <w:t>муниципальной собственности</w:t>
            </w:r>
            <w:r w:rsidRPr="00CD51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25AC5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CD51A7">
              <w:rPr>
                <w:rFonts w:ascii="Times New Roman" w:eastAsia="Times New Roman" w:hAnsi="Times New Roman" w:cs="Times New Roman"/>
                <w:lang w:eastAsia="ru-RU"/>
              </w:rPr>
              <w:t>ШМР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утверждено </w:t>
            </w:r>
            <w:r w:rsidR="00A22101">
              <w:rPr>
                <w:rFonts w:ascii="Times New Roman" w:eastAsia="Times New Roman" w:hAnsi="Times New Roman" w:cs="Times New Roman"/>
                <w:lang w:eastAsia="ru-RU"/>
              </w:rPr>
              <w:t>15036208</w:t>
            </w:r>
            <w:r w:rsidRPr="003D1E1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A22101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End"/>
            <w:r w:rsidRPr="006E4649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исполнено </w:t>
            </w:r>
            <w:r w:rsidR="00A22101">
              <w:rPr>
                <w:rFonts w:ascii="Times New Roman" w:eastAsia="Times New Roman" w:hAnsi="Times New Roman" w:cs="Times New Roman"/>
                <w:lang w:eastAsia="ru-RU"/>
              </w:rPr>
              <w:t>14440736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A22101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коп.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что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составляет </w:t>
            </w:r>
            <w:r w:rsidR="00A22101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0508F1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2210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%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уточненного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годового назначения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74F5F" w:rsidRDefault="00974F5F" w:rsidP="00271F6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71F6B" w:rsidRPr="00271F6B" w:rsidRDefault="00271F6B" w:rsidP="00974F5F">
            <w:pPr>
              <w:shd w:val="clear" w:color="auto" w:fill="FFFFFF" w:themeFill="background1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Раздел 4 «Анализ показателей  бухгалтерской отчетности субъекта бюджетной отчетности».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Форма 0503168 «Сведения о движении нефинансовых активов». </w:t>
            </w:r>
          </w:p>
          <w:p w:rsid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Отражен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>поступление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основных средств на сумму </w:t>
            </w:r>
            <w:r w:rsidR="000744EF">
              <w:rPr>
                <w:rFonts w:ascii="Times New Roman" w:eastAsia="Times New Roman" w:hAnsi="Times New Roman" w:cs="Times New Roman"/>
                <w:lang w:eastAsia="ru-RU"/>
              </w:rPr>
              <w:t>819175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0744E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6346A4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r w:rsidR="000744EF">
              <w:rPr>
                <w:rFonts w:ascii="Times New Roman" w:eastAsia="Times New Roman" w:hAnsi="Times New Roman" w:cs="Times New Roman"/>
                <w:lang w:eastAsia="ru-RU"/>
              </w:rPr>
              <w:t xml:space="preserve">восстановлено с </w:t>
            </w:r>
            <w:proofErr w:type="spellStart"/>
            <w:r w:rsidR="000744EF">
              <w:rPr>
                <w:rFonts w:ascii="Times New Roman" w:eastAsia="Times New Roman" w:hAnsi="Times New Roman" w:cs="Times New Roman"/>
                <w:lang w:eastAsia="ru-RU"/>
              </w:rPr>
              <w:t>забаланса</w:t>
            </w:r>
            <w:proofErr w:type="spellEnd"/>
            <w:r w:rsidR="00444959"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</w:t>
            </w:r>
            <w:r w:rsidR="000744EF">
              <w:rPr>
                <w:rFonts w:ascii="Times New Roman" w:eastAsia="Times New Roman" w:hAnsi="Times New Roman" w:cs="Times New Roman"/>
                <w:lang w:eastAsia="ru-RU"/>
              </w:rPr>
              <w:t xml:space="preserve">28168 руб. </w:t>
            </w:r>
            <w:r w:rsidR="000744EF" w:rsidRPr="000744EF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0744EF">
              <w:rPr>
                <w:rFonts w:ascii="Times New Roman" w:eastAsia="Times New Roman" w:hAnsi="Times New Roman" w:cs="Times New Roman"/>
                <w:lang w:eastAsia="ru-RU"/>
              </w:rPr>
              <w:t xml:space="preserve"> коп.; 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>введено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основных средств 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 xml:space="preserve">в эксплуатацию до 10 </w:t>
            </w:r>
            <w:proofErr w:type="spellStart"/>
            <w:r w:rsidR="00126AEE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="00126AEE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126AEE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="00126AE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на сумму </w:t>
            </w:r>
            <w:r w:rsidR="000744EF">
              <w:rPr>
                <w:rFonts w:ascii="Times New Roman" w:eastAsia="Times New Roman" w:hAnsi="Times New Roman" w:cs="Times New Roman"/>
                <w:lang w:eastAsia="ru-RU"/>
              </w:rPr>
              <w:t>39675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878E2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 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 xml:space="preserve">Передано безвозмездно на сумму </w:t>
            </w:r>
            <w:r w:rsidR="000744EF">
              <w:rPr>
                <w:rFonts w:ascii="Times New Roman" w:eastAsia="Times New Roman" w:hAnsi="Times New Roman" w:cs="Times New Roman"/>
                <w:lang w:eastAsia="ru-RU"/>
              </w:rPr>
              <w:t>800152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0744EF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 xml:space="preserve"> коп. </w:t>
            </w:r>
            <w:r w:rsidR="000744E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 xml:space="preserve">мортизация на сумму </w:t>
            </w:r>
            <w:r w:rsidR="000744EF">
              <w:rPr>
                <w:rFonts w:ascii="Times New Roman" w:eastAsia="Times New Roman" w:hAnsi="Times New Roman" w:cs="Times New Roman"/>
                <w:lang w:eastAsia="ru-RU"/>
              </w:rPr>
              <w:t>7515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0744EF">
              <w:rPr>
                <w:rFonts w:ascii="Times New Roman" w:eastAsia="Times New Roman" w:hAnsi="Times New Roman" w:cs="Times New Roman"/>
                <w:lang w:eastAsia="ru-RU"/>
              </w:rPr>
              <w:t xml:space="preserve"> 32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 xml:space="preserve"> коп.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Отражены приобретение  материальных запасов на сумму </w:t>
            </w:r>
            <w:r w:rsidR="002C15B6">
              <w:rPr>
                <w:rFonts w:ascii="Times New Roman" w:eastAsia="Times New Roman" w:hAnsi="Times New Roman" w:cs="Times New Roman"/>
                <w:lang w:eastAsia="ru-RU"/>
              </w:rPr>
              <w:t>127325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2C15B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0B00B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End"/>
            <w:r w:rsidR="00126AEE">
              <w:rPr>
                <w:rFonts w:ascii="Times New Roman" w:eastAsia="Times New Roman" w:hAnsi="Times New Roman" w:cs="Times New Roman"/>
                <w:lang w:eastAsia="ru-RU"/>
              </w:rPr>
              <w:t>выбытие</w:t>
            </w:r>
            <w:r w:rsidR="00126AEE"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материальных запасов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 xml:space="preserve"> на нужды учреждения на сумму </w:t>
            </w:r>
            <w:r w:rsidR="002C15B6">
              <w:rPr>
                <w:rFonts w:ascii="Times New Roman" w:eastAsia="Times New Roman" w:hAnsi="Times New Roman" w:cs="Times New Roman"/>
                <w:lang w:eastAsia="ru-RU"/>
              </w:rPr>
              <w:t>155220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2C15B6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126AEE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8C6558" w:rsidRPr="00D630FC" w:rsidRDefault="00126AEE" w:rsidP="00126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>Забалансовые</w:t>
            </w:r>
            <w:proofErr w:type="spellEnd"/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счета.</w:t>
            </w:r>
          </w:p>
          <w:p w:rsidR="00271F6B" w:rsidRDefault="00126AEE" w:rsidP="00126AEE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По счету 21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средства стоимостью до 10000 </w:t>
            </w:r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>включительно в эксплуатации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поступ</w:t>
            </w:r>
            <w:r w:rsidR="009878E2">
              <w:rPr>
                <w:rFonts w:ascii="Times New Roman" w:eastAsia="Times New Roman" w:hAnsi="Times New Roman" w:cs="Times New Roman"/>
                <w:lang w:eastAsia="ru-RU"/>
              </w:rPr>
              <w:t>ило в течение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44495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года на сумму </w:t>
            </w:r>
            <w:r w:rsidR="00444959">
              <w:rPr>
                <w:rFonts w:ascii="Times New Roman" w:eastAsia="Times New Roman" w:hAnsi="Times New Roman" w:cs="Times New Roman"/>
                <w:lang w:eastAsia="ru-RU"/>
              </w:rPr>
              <w:t>39675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3973C8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9878E2">
              <w:rPr>
                <w:rFonts w:ascii="Times New Roman" w:eastAsia="Times New Roman" w:hAnsi="Times New Roman" w:cs="Times New Roman"/>
                <w:lang w:eastAsia="ru-RU"/>
              </w:rPr>
              <w:t>0 коп</w:t>
            </w:r>
            <w:proofErr w:type="gramStart"/>
            <w:r w:rsidR="009878E2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="00444959">
              <w:rPr>
                <w:rFonts w:ascii="Times New Roman" w:eastAsia="Times New Roman" w:hAnsi="Times New Roman" w:cs="Times New Roman"/>
                <w:lang w:eastAsia="ru-RU"/>
              </w:rPr>
              <w:t>восстановлено на баланс на сумму 28168 руб. 00 коп.</w:t>
            </w:r>
            <w:r w:rsidR="009878E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>остаток на конец 202</w:t>
            </w:r>
            <w:r w:rsidR="0044495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 </w:t>
            </w:r>
            <w:r w:rsidR="00444959">
              <w:rPr>
                <w:rFonts w:ascii="Times New Roman" w:eastAsia="Times New Roman" w:hAnsi="Times New Roman" w:cs="Times New Roman"/>
                <w:lang w:eastAsia="ru-RU"/>
              </w:rPr>
              <w:t>300708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9878E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Форма 0503168К «Сведения о движении нефинансовых активов» (в части имущества казны). </w:t>
            </w:r>
          </w:p>
          <w:p w:rsidR="00A76424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A21AB">
              <w:rPr>
                <w:rFonts w:ascii="Times New Roman" w:eastAsia="Times New Roman" w:hAnsi="Times New Roman" w:cs="Times New Roman"/>
                <w:lang w:eastAsia="ru-RU"/>
              </w:rPr>
              <w:t xml:space="preserve">Поступило </w:t>
            </w:r>
            <w:r w:rsidR="00EC7F25" w:rsidRPr="00BA21AB">
              <w:rPr>
                <w:rFonts w:ascii="Times New Roman" w:eastAsia="Times New Roman" w:hAnsi="Times New Roman" w:cs="Times New Roman"/>
                <w:lang w:eastAsia="ru-RU"/>
              </w:rPr>
              <w:t>основных средств</w:t>
            </w:r>
            <w:r w:rsidRPr="00BA21AB">
              <w:rPr>
                <w:rFonts w:ascii="Times New Roman" w:eastAsia="Times New Roman" w:hAnsi="Times New Roman" w:cs="Times New Roman"/>
                <w:lang w:eastAsia="ru-RU"/>
              </w:rPr>
              <w:t xml:space="preserve"> в казну на сумму </w:t>
            </w:r>
            <w:r w:rsidR="00E27A25">
              <w:rPr>
                <w:rFonts w:ascii="Times New Roman" w:eastAsia="Times New Roman" w:hAnsi="Times New Roman" w:cs="Times New Roman"/>
                <w:lang w:eastAsia="ru-RU"/>
              </w:rPr>
              <w:t>112339091</w:t>
            </w:r>
            <w:r w:rsidRPr="00BA21A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E27A25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  <w:r w:rsidRPr="00BA21AB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BA21AB">
              <w:rPr>
                <w:rFonts w:ascii="Times New Roman" w:eastAsia="Times New Roman" w:hAnsi="Times New Roman" w:cs="Times New Roman"/>
                <w:lang w:eastAsia="ru-RU"/>
              </w:rPr>
              <w:t>.,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End"/>
            <w:r w:rsidR="00662473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получено безвозмездно на сумму </w:t>
            </w:r>
            <w:r w:rsidR="009723CF" w:rsidRPr="009F3E41">
              <w:rPr>
                <w:rFonts w:ascii="Times New Roman" w:eastAsia="Times New Roman" w:hAnsi="Times New Roman" w:cs="Times New Roman"/>
                <w:lang w:eastAsia="ru-RU"/>
              </w:rPr>
              <w:t>99393224</w:t>
            </w:r>
            <w:r w:rsidR="00662473" w:rsidRPr="009F3E41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9723CF" w:rsidRPr="009F3E41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662473" w:rsidRPr="009F3E41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r w:rsidR="00662473">
              <w:rPr>
                <w:rFonts w:ascii="Times New Roman" w:eastAsia="Times New Roman" w:hAnsi="Times New Roman" w:cs="Times New Roman"/>
                <w:lang w:eastAsia="ru-RU"/>
              </w:rPr>
              <w:t xml:space="preserve">.; </w:t>
            </w:r>
            <w:r w:rsidR="009723CF">
              <w:rPr>
                <w:rFonts w:ascii="Times New Roman" w:eastAsia="Times New Roman" w:hAnsi="Times New Roman" w:cs="Times New Roman"/>
                <w:lang w:eastAsia="ru-RU"/>
              </w:rPr>
              <w:t>выбыло</w:t>
            </w:r>
            <w:r w:rsidR="00EC7F2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229AF">
              <w:rPr>
                <w:rFonts w:ascii="Times New Roman" w:eastAsia="Times New Roman" w:hAnsi="Times New Roman" w:cs="Times New Roman"/>
                <w:lang w:eastAsia="ru-RU"/>
              </w:rPr>
              <w:t xml:space="preserve">основных средств </w:t>
            </w:r>
            <w:r w:rsidR="00EC7F25">
              <w:rPr>
                <w:rFonts w:ascii="Times New Roman" w:eastAsia="Times New Roman" w:hAnsi="Times New Roman" w:cs="Times New Roman"/>
                <w:lang w:eastAsia="ru-RU"/>
              </w:rPr>
              <w:t>из казны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</w:t>
            </w:r>
            <w:r w:rsidR="004B75FE">
              <w:rPr>
                <w:rFonts w:ascii="Times New Roman" w:eastAsia="Times New Roman" w:hAnsi="Times New Roman" w:cs="Times New Roman"/>
                <w:lang w:eastAsia="ru-RU"/>
              </w:rPr>
              <w:t>44924056</w:t>
            </w:r>
            <w:r w:rsidRPr="00B229AF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4B75F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45074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  <w:r w:rsidR="009723CF">
              <w:rPr>
                <w:rFonts w:ascii="Times New Roman" w:eastAsia="Times New Roman" w:hAnsi="Times New Roman" w:cs="Times New Roman"/>
                <w:lang w:eastAsia="ru-RU"/>
              </w:rPr>
              <w:t xml:space="preserve">, в том числе передано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723CF">
              <w:rPr>
                <w:rFonts w:ascii="Times New Roman" w:eastAsia="Times New Roman" w:hAnsi="Times New Roman" w:cs="Times New Roman"/>
                <w:lang w:eastAsia="ru-RU"/>
              </w:rPr>
              <w:t xml:space="preserve">безвозмездно на сумму </w:t>
            </w:r>
            <w:r w:rsidR="009F3E41" w:rsidRPr="009F3E41">
              <w:rPr>
                <w:rFonts w:ascii="Times New Roman" w:eastAsia="Times New Roman" w:hAnsi="Times New Roman" w:cs="Times New Roman"/>
                <w:lang w:eastAsia="ru-RU"/>
              </w:rPr>
              <w:t>20505697</w:t>
            </w:r>
            <w:r w:rsidR="009723CF" w:rsidRPr="009F3E41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9F3E41" w:rsidRPr="009F3E41">
              <w:rPr>
                <w:rFonts w:ascii="Times New Roman" w:eastAsia="Times New Roman" w:hAnsi="Times New Roman" w:cs="Times New Roman"/>
                <w:lang w:eastAsia="ru-RU"/>
              </w:rPr>
              <w:t xml:space="preserve">76 </w:t>
            </w:r>
            <w:r w:rsidR="009723CF" w:rsidRPr="009F3E41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r w:rsidR="009723CF" w:rsidRPr="009F3E4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723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C2448B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C2448B">
              <w:rPr>
                <w:rFonts w:ascii="Times New Roman" w:eastAsia="Times New Roman" w:hAnsi="Times New Roman" w:cs="Times New Roman"/>
                <w:lang w:eastAsia="ru-RU"/>
              </w:rPr>
              <w:t>олучено безвозмездно</w:t>
            </w:r>
            <w:r w:rsidR="00EC7F25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земельных участков в казну на сумму </w:t>
            </w:r>
            <w:r w:rsidR="00C2448B">
              <w:rPr>
                <w:rFonts w:ascii="Times New Roman" w:eastAsia="Times New Roman" w:hAnsi="Times New Roman" w:cs="Times New Roman"/>
                <w:lang w:eastAsia="ru-RU"/>
              </w:rPr>
              <w:t>89584</w:t>
            </w:r>
            <w:r w:rsidR="00EC7F25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C2448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507E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C7F25">
              <w:rPr>
                <w:rFonts w:ascii="Times New Roman" w:eastAsia="Times New Roman" w:hAnsi="Times New Roman" w:cs="Times New Roman"/>
                <w:lang w:eastAsia="ru-RU"/>
              </w:rPr>
              <w:t xml:space="preserve"> коп.,</w:t>
            </w:r>
            <w:r w:rsidR="00507E68">
              <w:rPr>
                <w:rFonts w:ascii="Times New Roman" w:eastAsia="Times New Roman" w:hAnsi="Times New Roman" w:cs="Times New Roman"/>
                <w:lang w:eastAsia="ru-RU"/>
              </w:rPr>
              <w:t xml:space="preserve"> была сделана</w:t>
            </w:r>
            <w:r w:rsidR="00EC7F2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07E68">
              <w:rPr>
                <w:rFonts w:ascii="Times New Roman" w:eastAsia="Times New Roman" w:hAnsi="Times New Roman" w:cs="Times New Roman"/>
                <w:lang w:eastAsia="ru-RU"/>
              </w:rPr>
              <w:t xml:space="preserve">переоценка </w:t>
            </w:r>
            <w:r w:rsidR="00507E68" w:rsidRPr="00507E68">
              <w:rPr>
                <w:rFonts w:ascii="Times New Roman" w:eastAsia="Times New Roman" w:hAnsi="Times New Roman" w:cs="Times New Roman"/>
                <w:lang w:eastAsia="ru-RU"/>
              </w:rPr>
              <w:t>кадастровой</w:t>
            </w:r>
            <w:proofErr w:type="gramEnd"/>
            <w:r w:rsidR="00507E68" w:rsidRPr="00507E68">
              <w:rPr>
                <w:rFonts w:ascii="Times New Roman" w:eastAsia="Times New Roman" w:hAnsi="Times New Roman" w:cs="Times New Roman"/>
                <w:lang w:eastAsia="ru-RU"/>
              </w:rPr>
              <w:t xml:space="preserve"> стоимости земельных участков</w:t>
            </w:r>
            <w:r w:rsidR="00507E68"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</w:t>
            </w:r>
            <w:r w:rsidR="00A76424">
              <w:rPr>
                <w:rFonts w:ascii="Times New Roman" w:eastAsia="Times New Roman" w:hAnsi="Times New Roman" w:cs="Times New Roman"/>
                <w:lang w:eastAsia="ru-RU"/>
              </w:rPr>
              <w:t>730904</w:t>
            </w:r>
            <w:r w:rsidR="00507E68">
              <w:rPr>
                <w:rFonts w:ascii="Times New Roman" w:eastAsia="Times New Roman" w:hAnsi="Times New Roman" w:cs="Times New Roman"/>
                <w:lang w:eastAsia="ru-RU"/>
              </w:rPr>
              <w:t xml:space="preserve"> руб</w:t>
            </w:r>
            <w:r w:rsidR="00A76424">
              <w:rPr>
                <w:rFonts w:ascii="Times New Roman" w:eastAsia="Times New Roman" w:hAnsi="Times New Roman" w:cs="Times New Roman"/>
                <w:lang w:eastAsia="ru-RU"/>
              </w:rPr>
              <w:t>. 93 коп.</w:t>
            </w:r>
          </w:p>
          <w:p w:rsidR="00271F6B" w:rsidRPr="00271F6B" w:rsidRDefault="00507E68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Получено </w:t>
            </w:r>
            <w:r w:rsidR="002D5A34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E3028A">
              <w:rPr>
                <w:rFonts w:ascii="Times New Roman" w:eastAsia="Times New Roman" w:hAnsi="Times New Roman" w:cs="Times New Roman"/>
                <w:lang w:eastAsia="ru-RU"/>
              </w:rPr>
              <w:t xml:space="preserve"> казн</w:t>
            </w:r>
            <w:r w:rsidR="002D5A34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E3028A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материальных запасов на сумму </w:t>
            </w:r>
            <w:r w:rsidR="002D5A34">
              <w:rPr>
                <w:rFonts w:ascii="Times New Roman" w:eastAsia="Times New Roman" w:hAnsi="Times New Roman" w:cs="Times New Roman"/>
                <w:lang w:eastAsia="ru-RU"/>
              </w:rPr>
              <w:t>182442</w:t>
            </w:r>
            <w:r w:rsidR="009878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3028A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2D5A34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3028A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proofErr w:type="gramStart"/>
            <w:r w:rsidR="00B229A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2D5A3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End"/>
            <w:r w:rsidR="002D5A34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получено безвозмездно на сумму </w:t>
            </w:r>
            <w:r w:rsidR="002D5A34" w:rsidRPr="002D5A34">
              <w:rPr>
                <w:rFonts w:ascii="Times New Roman" w:eastAsia="Times New Roman" w:hAnsi="Times New Roman" w:cs="Times New Roman"/>
                <w:lang w:eastAsia="ru-RU"/>
              </w:rPr>
              <w:t>182441</w:t>
            </w:r>
            <w:r w:rsidR="002D5A34" w:rsidRPr="002D5A3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2D5A34" w:rsidRPr="002D5A34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2D5A34" w:rsidRPr="002D5A34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2D5A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D5A34">
              <w:rPr>
                <w:rFonts w:ascii="Times New Roman" w:eastAsia="Times New Roman" w:hAnsi="Times New Roman" w:cs="Times New Roman"/>
                <w:lang w:eastAsia="ru-RU"/>
              </w:rPr>
              <w:t xml:space="preserve">передано </w:t>
            </w:r>
            <w:r w:rsidR="002D5A34"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D5A34">
              <w:rPr>
                <w:rFonts w:ascii="Times New Roman" w:eastAsia="Times New Roman" w:hAnsi="Times New Roman" w:cs="Times New Roman"/>
                <w:lang w:eastAsia="ru-RU"/>
              </w:rPr>
              <w:t xml:space="preserve">безвозмездно на сумму </w:t>
            </w:r>
            <w:r w:rsidR="002D5A34" w:rsidRPr="002D5A34">
              <w:rPr>
                <w:rFonts w:ascii="Times New Roman" w:eastAsia="Times New Roman" w:hAnsi="Times New Roman" w:cs="Times New Roman"/>
                <w:lang w:eastAsia="ru-RU"/>
              </w:rPr>
              <w:t>182441</w:t>
            </w:r>
            <w:r w:rsidR="002D5A34" w:rsidRPr="002D5A3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2D5A34" w:rsidRPr="002D5A34">
              <w:rPr>
                <w:rFonts w:ascii="Times New Roman" w:eastAsia="Times New Roman" w:hAnsi="Times New Roman" w:cs="Times New Roman"/>
                <w:lang w:eastAsia="ru-RU"/>
              </w:rPr>
              <w:t xml:space="preserve">00 </w:t>
            </w:r>
            <w:r w:rsidR="002D5A34" w:rsidRPr="002D5A34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r w:rsidR="002D5A34" w:rsidRPr="002D5A3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Забалансовые</w:t>
            </w:r>
            <w:proofErr w:type="spellEnd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счета.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По счету 25 «Имущество, переданное в возмездное пользование (аренду)» отражено 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поступление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имуществ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казны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</w:t>
            </w:r>
            <w:r w:rsidR="00C4488B">
              <w:rPr>
                <w:rFonts w:ascii="Times New Roman" w:eastAsia="Times New Roman" w:hAnsi="Times New Roman" w:cs="Times New Roman"/>
                <w:lang w:eastAsia="ru-RU"/>
              </w:rPr>
              <w:t>286211344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0E5F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C4488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="007E4D2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End"/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выбытие на сумму </w:t>
            </w:r>
            <w:r w:rsidR="00C4488B">
              <w:rPr>
                <w:rFonts w:ascii="Times New Roman" w:eastAsia="Times New Roman" w:hAnsi="Times New Roman" w:cs="Times New Roman"/>
                <w:lang w:eastAsia="ru-RU"/>
              </w:rPr>
              <w:t>4164373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C4488B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коп., остаток на конец 202</w:t>
            </w:r>
            <w:r w:rsidR="00C4488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4488B">
              <w:rPr>
                <w:rFonts w:ascii="Times New Roman" w:eastAsia="Times New Roman" w:hAnsi="Times New Roman" w:cs="Times New Roman"/>
                <w:lang w:eastAsia="ru-RU"/>
              </w:rPr>
              <w:t>499992532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C4488B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7E4D24" w:rsidRPr="00271F6B" w:rsidRDefault="00271F6B" w:rsidP="007E4D24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По счету 26 «Имущество, переданное в безвозмездное пользование» 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>поступлени</w:t>
            </w:r>
            <w:r w:rsidR="00E56EE8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имуществ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казны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56EE8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729D5">
              <w:rPr>
                <w:rFonts w:ascii="Times New Roman" w:eastAsia="Times New Roman" w:hAnsi="Times New Roman" w:cs="Times New Roman"/>
                <w:lang w:eastAsia="ru-RU"/>
              </w:rPr>
              <w:t>выбытия не было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, остаток </w:t>
            </w:r>
            <w:proofErr w:type="gramStart"/>
            <w:r w:rsidR="007E4D24">
              <w:rPr>
                <w:rFonts w:ascii="Times New Roman" w:eastAsia="Times New Roman" w:hAnsi="Times New Roman" w:cs="Times New Roman"/>
                <w:lang w:eastAsia="ru-RU"/>
              </w:rPr>
              <w:t>на конец</w:t>
            </w:r>
            <w:proofErr w:type="gramEnd"/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E56E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7E4D24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</w:t>
            </w:r>
            <w:r w:rsidR="007E4D24"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65618">
              <w:rPr>
                <w:rFonts w:ascii="Times New Roman" w:eastAsia="Times New Roman" w:hAnsi="Times New Roman" w:cs="Times New Roman"/>
                <w:lang w:eastAsia="ru-RU"/>
              </w:rPr>
              <w:t>11388168</w:t>
            </w:r>
            <w:r w:rsidR="007E4D24"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2729D5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7E4D24"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Форма 0503169 «Сведения о дебиторской и кредиторской задолженности».</w:t>
            </w:r>
          </w:p>
          <w:p w:rsidR="00A05391" w:rsidRPr="00A05391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муниципальной собственности </w:t>
            </w:r>
            <w:r w:rsidR="006E73F4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 xml:space="preserve">ШМР имеет дебиторскую задолженность  в сумме </w:t>
            </w:r>
            <w:r w:rsidR="00D47785">
              <w:rPr>
                <w:rFonts w:ascii="Times New Roman" w:eastAsia="Times New Roman" w:hAnsi="Times New Roman" w:cs="Times New Roman"/>
                <w:lang w:eastAsia="ru-RU"/>
              </w:rPr>
              <w:t>4257749</w:t>
            </w:r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D4778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C7010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spellStart"/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A05391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F46D64" w:rsidRDefault="00F46D64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47785">
              <w:rPr>
                <w:rFonts w:ascii="Times New Roman" w:eastAsia="Times New Roman" w:hAnsi="Times New Roman" w:cs="Times New Roman"/>
                <w:lang w:eastAsia="ru-RU"/>
              </w:rPr>
              <w:t>114018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D47785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ч205.21) -  а</w:t>
            </w:r>
            <w:r w:rsidRPr="00F46D64">
              <w:rPr>
                <w:rFonts w:ascii="Times New Roman" w:eastAsia="Times New Roman" w:hAnsi="Times New Roman" w:cs="Times New Roman"/>
                <w:lang w:eastAsia="ru-RU"/>
              </w:rPr>
              <w:t>рендная плата за муниципальное имущество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F46D64" w:rsidRDefault="00F46D64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47785">
              <w:rPr>
                <w:rFonts w:ascii="Times New Roman" w:eastAsia="Times New Roman" w:hAnsi="Times New Roman" w:cs="Times New Roman"/>
                <w:lang w:eastAsia="ru-RU"/>
              </w:rPr>
              <w:t>2869042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582B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47785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ч205.23) - а</w:t>
            </w:r>
            <w:r w:rsidRPr="00F46D64">
              <w:rPr>
                <w:rFonts w:ascii="Times New Roman" w:eastAsia="Times New Roman" w:hAnsi="Times New Roman" w:cs="Times New Roman"/>
                <w:lang w:eastAsia="ru-RU"/>
              </w:rPr>
              <w:t>рендная плата за земельные участки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F46D64" w:rsidRDefault="00F46D64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D47785">
              <w:rPr>
                <w:rFonts w:ascii="Times New Roman" w:eastAsia="Times New Roman" w:hAnsi="Times New Roman" w:cs="Times New Roman"/>
                <w:lang w:eastAsia="ru-RU"/>
              </w:rPr>
              <w:t>1119268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582B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47785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ч205.29) - п</w:t>
            </w:r>
            <w:r w:rsidRPr="00F46D64">
              <w:rPr>
                <w:rFonts w:ascii="Times New Roman" w:eastAsia="Times New Roman" w:hAnsi="Times New Roman" w:cs="Times New Roman"/>
                <w:lang w:eastAsia="ru-RU"/>
              </w:rPr>
              <w:t xml:space="preserve">лата за </w:t>
            </w:r>
            <w:proofErr w:type="spellStart"/>
            <w:r w:rsidRPr="00F46D64">
              <w:rPr>
                <w:rFonts w:ascii="Times New Roman" w:eastAsia="Times New Roman" w:hAnsi="Times New Roman" w:cs="Times New Roman"/>
                <w:lang w:eastAsia="ru-RU"/>
              </w:rPr>
              <w:t>найм</w:t>
            </w:r>
            <w:proofErr w:type="spellEnd"/>
            <w:r w:rsidRPr="00F46D6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жилищного фонда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F46D64" w:rsidRDefault="00F46D64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425BB8">
              <w:rPr>
                <w:rFonts w:ascii="Times New Roman" w:eastAsia="Times New Roman" w:hAnsi="Times New Roman" w:cs="Times New Roman"/>
                <w:lang w:eastAsia="ru-RU"/>
              </w:rPr>
              <w:t>141184</w:t>
            </w:r>
            <w:r w:rsidR="00072C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425BB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ч205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>.73) - д</w:t>
            </w:r>
            <w:r w:rsidR="004E10A7" w:rsidRPr="004E10A7">
              <w:rPr>
                <w:rFonts w:ascii="Times New Roman" w:eastAsia="Times New Roman" w:hAnsi="Times New Roman" w:cs="Times New Roman"/>
                <w:lang w:eastAsia="ru-RU"/>
              </w:rPr>
              <w:t>оходы от продажи земельных участков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F46D64" w:rsidRDefault="004E10A7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A230D1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A230D1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ч206.26) - </w:t>
            </w:r>
            <w:r w:rsidR="001107AE">
              <w:rPr>
                <w:rFonts w:ascii="Times New Roman" w:eastAsia="Times New Roman" w:hAnsi="Times New Roman" w:cs="Times New Roman"/>
                <w:lang w:eastAsia="ru-RU"/>
              </w:rPr>
              <w:t>АО «Почта России»</w:t>
            </w:r>
            <w:r w:rsidRPr="004E10A7">
              <w:rPr>
                <w:rFonts w:ascii="Times New Roman" w:eastAsia="Times New Roman" w:hAnsi="Times New Roman" w:cs="Times New Roman"/>
                <w:lang w:eastAsia="ru-RU"/>
              </w:rPr>
              <w:t xml:space="preserve"> подписка за 1 пол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угоди</w:t>
            </w:r>
            <w:r w:rsidRPr="004E10A7">
              <w:rPr>
                <w:rFonts w:ascii="Times New Roman" w:eastAsia="Times New Roman" w:hAnsi="Times New Roman" w:cs="Times New Roman"/>
                <w:lang w:eastAsia="ru-RU"/>
              </w:rPr>
              <w:t>е 202</w:t>
            </w:r>
            <w:r w:rsidR="00A230D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4E10A7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072C59" w:rsidRDefault="00072C59" w:rsidP="001107AE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245746">
              <w:rPr>
                <w:rFonts w:ascii="Times New Roman" w:eastAsia="Times New Roman" w:hAnsi="Times New Roman" w:cs="Times New Roman"/>
                <w:lang w:eastAsia="ru-RU"/>
              </w:rPr>
              <w:t>13135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24574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асчеты по единому налоговому платежу</w:t>
            </w:r>
            <w:r w:rsidR="00245746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245746" w:rsidRPr="00245746">
              <w:rPr>
                <w:rFonts w:ascii="Times New Roman" w:eastAsia="Times New Roman" w:hAnsi="Times New Roman" w:cs="Times New Roman"/>
                <w:lang w:eastAsia="ru-RU"/>
              </w:rPr>
              <w:t>единый страховой тариф</w:t>
            </w:r>
            <w:r w:rsidR="0024574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478A7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Кредиторская задолженность на конец 202</w:t>
            </w:r>
            <w:r w:rsidR="00F05A8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 </w:t>
            </w:r>
            <w:r w:rsidR="00726CD8">
              <w:rPr>
                <w:rFonts w:ascii="Times New Roman" w:eastAsia="Times New Roman" w:hAnsi="Times New Roman" w:cs="Times New Roman"/>
                <w:lang w:eastAsia="ru-RU"/>
              </w:rPr>
              <w:t>697906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726CD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коп., в том числе:                                                      </w:t>
            </w:r>
            <w:r w:rsidR="00A478A7">
              <w:rPr>
                <w:rFonts w:ascii="Times New Roman" w:eastAsia="Times New Roman" w:hAnsi="Times New Roman" w:cs="Times New Roman"/>
                <w:lang w:eastAsia="ru-RU"/>
              </w:rPr>
              <w:t>- 287335 руб. 95 коп</w:t>
            </w:r>
            <w:proofErr w:type="gramStart"/>
            <w:r w:rsidR="00A478A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A478A7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proofErr w:type="gramStart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адолженность по заработной плате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 xml:space="preserve"> за декабрь 202</w:t>
            </w:r>
            <w:r w:rsidR="00A478A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 xml:space="preserve"> года; </w:t>
            </w:r>
          </w:p>
          <w:p w:rsidR="00A478A7" w:rsidRDefault="00A478A7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- 23349 руб. 01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proofErr w:type="gramStart"/>
            <w:r w:rsidR="00271F6B" w:rsidRPr="00271F6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proofErr w:type="gramEnd"/>
            <w:r w:rsidR="00271F6B"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слуги </w:t>
            </w:r>
            <w:proofErr w:type="spellStart"/>
            <w:r w:rsidR="00271F6B" w:rsidRPr="00271F6B">
              <w:rPr>
                <w:rFonts w:ascii="Times New Roman" w:eastAsia="Times New Roman" w:hAnsi="Times New Roman" w:cs="Times New Roman"/>
                <w:lang w:eastAsia="ru-RU"/>
              </w:rPr>
              <w:t>теплоэнергии</w:t>
            </w:r>
            <w:proofErr w:type="spellEnd"/>
            <w:r w:rsidR="001107A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71F6B" w:rsidRPr="00271F6B">
              <w:rPr>
                <w:rFonts w:ascii="Times New Roman" w:eastAsia="Times New Roman" w:hAnsi="Times New Roman" w:cs="Times New Roman"/>
                <w:lang w:eastAsia="ru-RU"/>
              </w:rPr>
              <w:t>по муниципальному имуществу, находящимся в казне за декабрь 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271F6B"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A478A7" w:rsidRDefault="00A478A7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- 17 руб. 84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э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/энергия за декабрь 2024 года;</w:t>
            </w:r>
          </w:p>
          <w:p w:rsidR="00A478A7" w:rsidRDefault="00A478A7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-102763 руб. 62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</w:t>
            </w:r>
            <w:r w:rsidR="00271F6B"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271F6B" w:rsidRPr="00271F6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="00271F6B" w:rsidRPr="00271F6B">
              <w:rPr>
                <w:rFonts w:ascii="Times New Roman" w:eastAsia="Times New Roman" w:hAnsi="Times New Roman" w:cs="Times New Roman"/>
                <w:lang w:eastAsia="ru-RU"/>
              </w:rPr>
              <w:t>одержание общего  имущества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 декабрь 2024 года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A478A7" w:rsidRDefault="00A05103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- 1300 руб. 00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proofErr w:type="gramStart"/>
            <w:r w:rsidR="004E10A7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proofErr w:type="gramEnd"/>
            <w:r w:rsidR="004E10A7">
              <w:rPr>
                <w:rFonts w:ascii="Times New Roman" w:eastAsia="Times New Roman" w:hAnsi="Times New Roman" w:cs="Times New Roman"/>
                <w:lang w:eastAsia="ru-RU"/>
              </w:rPr>
              <w:t>ранспортный налог за 4 квартал 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E10A7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  <w:r w:rsidR="00562D18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2472E4" w:rsidRDefault="002472E4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- 1751 руб. 84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2472E4">
              <w:rPr>
                <w:rFonts w:ascii="Times New Roman" w:eastAsia="Times New Roman" w:hAnsi="Times New Roman" w:cs="Times New Roman"/>
                <w:lang w:eastAsia="ru-RU"/>
              </w:rPr>
              <w:t>асчеты по страховым взносам на обязательное социальное страхование от несчастных случаев на производстве и профессиональны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 заболеваний за декабрь 2024 года;</w:t>
            </w:r>
          </w:p>
          <w:p w:rsidR="002472E4" w:rsidRDefault="002472E4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- 281388 руб. 13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</w:t>
            </w:r>
            <w:r w:rsidR="00271F6B"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562D18" w:rsidRPr="009F3E41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="00562D18" w:rsidRPr="009F3E41">
              <w:rPr>
                <w:rFonts w:ascii="Times New Roman" w:eastAsia="Times New Roman" w:hAnsi="Times New Roman" w:cs="Times New Roman"/>
                <w:lang w:eastAsia="ru-RU"/>
              </w:rPr>
              <w:t>асчеты по единому страховому тарифу за декабрь 202</w:t>
            </w:r>
            <w:r w:rsidRPr="009F3E41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  <w:r w:rsidR="00562D18" w:rsidRPr="009F3E4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9F3E41">
              <w:rPr>
                <w:rFonts w:ascii="Times New Roman" w:eastAsia="Times New Roman" w:hAnsi="Times New Roman" w:cs="Times New Roman"/>
                <w:lang w:eastAsia="ru-RU"/>
              </w:rPr>
              <w:t>ода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Оплата  кредиторской задолженности  предусмотрена за счет ассигнований и ЛБО 202</w:t>
            </w:r>
            <w:r w:rsidR="002472E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 года.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По всем направлениям ведется работа по уменьшению кредиторской задолженности, проводится   инвентаризация расчетов и обязательств, анализируется потребность в покупаемых услугах. </w:t>
            </w:r>
          </w:p>
          <w:p w:rsidR="00271F6B" w:rsidRPr="00271F6B" w:rsidRDefault="00271F6B" w:rsidP="00271F6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Просроченной кредиторской  задолженности нет.</w:t>
            </w:r>
          </w:p>
          <w:p w:rsidR="00EC22E6" w:rsidRDefault="00271F6B" w:rsidP="00EC22E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Финансовые вложения в уставной фонд государственных (муниципальных) предприятий 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271F6B">
              <w:rPr>
                <w:rFonts w:ascii="Times New Roman" w:eastAsia="Times New Roman" w:hAnsi="Times New Roman" w:cs="Times New Roman"/>
                <w:lang w:eastAsia="ru-RU"/>
              </w:rPr>
              <w:t>тражены по форме 0503171 «Сведения о финансовых вложениях получателя бюджетных средств, администратора источников ф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инансирования дефицита бюджета» на сумму 6680278 руб. 00 коп., в том числе акции </w:t>
            </w:r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>АО "Газпром газораспределение г. Вологда"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4 руб. 00 коп.,</w:t>
            </w:r>
            <w:r w:rsidR="003238E4">
              <w:t xml:space="preserve"> 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>уставн</w:t>
            </w:r>
            <w:r w:rsidR="004C654E">
              <w:rPr>
                <w:rFonts w:ascii="Times New Roman" w:eastAsia="Times New Roman" w:hAnsi="Times New Roman" w:cs="Times New Roman"/>
                <w:lang w:eastAsia="ru-RU"/>
              </w:rPr>
              <w:t>ый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  </w:t>
            </w:r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>ОО "Шекснинское АТП"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6680274 руб. 00 коп.</w:t>
            </w:r>
            <w:proofErr w:type="gramEnd"/>
          </w:p>
          <w:p w:rsidR="00F928FC" w:rsidRDefault="00F928FC" w:rsidP="00EC22E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28FC" w:rsidRPr="00F928FC" w:rsidRDefault="00F928FC" w:rsidP="00EC22E6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</w:rPr>
            </w:pPr>
            <w:r w:rsidRPr="00F928FC">
              <w:rPr>
                <w:rFonts w:ascii="Times New Roman" w:eastAsia="Times New Roman" w:hAnsi="Times New Roman" w:cs="Times New Roman"/>
                <w:lang w:eastAsia="ru-RU"/>
              </w:rPr>
              <w:t>Форма 0503173 «Сведения об изменении остатков валюты баланса» – и</w:t>
            </w:r>
            <w:r w:rsidRPr="00F928FC">
              <w:rPr>
                <w:rFonts w:ascii="Times New Roman" w:eastAsia="Calibri" w:hAnsi="Times New Roman" w:cs="Times New Roman"/>
              </w:rPr>
              <w:t xml:space="preserve">зменены остатки на начало года по дебиторской задолженности в сумме </w:t>
            </w:r>
            <w:r w:rsidR="004C654E">
              <w:rPr>
                <w:rFonts w:ascii="Times New Roman" w:eastAsia="Calibri" w:hAnsi="Times New Roman" w:cs="Times New Roman"/>
              </w:rPr>
              <w:t>373</w:t>
            </w:r>
            <w:r w:rsidRPr="00F928FC">
              <w:rPr>
                <w:rFonts w:ascii="Times New Roman" w:eastAsia="Calibri" w:hAnsi="Times New Roman" w:cs="Times New Roman"/>
              </w:rPr>
              <w:t xml:space="preserve"> руб. </w:t>
            </w:r>
            <w:r w:rsidR="004C654E">
              <w:rPr>
                <w:rFonts w:ascii="Times New Roman" w:eastAsia="Calibri" w:hAnsi="Times New Roman" w:cs="Times New Roman"/>
              </w:rPr>
              <w:t>00</w:t>
            </w:r>
            <w:r w:rsidRPr="00F928FC">
              <w:rPr>
                <w:rFonts w:ascii="Times New Roman" w:eastAsia="Calibri" w:hAnsi="Times New Roman" w:cs="Times New Roman"/>
              </w:rPr>
              <w:t xml:space="preserve"> коп</w:t>
            </w:r>
            <w:proofErr w:type="gramStart"/>
            <w:r w:rsidRPr="00F928FC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F928FC">
              <w:rPr>
                <w:rFonts w:ascii="Times New Roman" w:eastAsia="Calibri" w:hAnsi="Times New Roman" w:cs="Times New Roman"/>
              </w:rPr>
              <w:t xml:space="preserve"> - </w:t>
            </w:r>
            <w:proofErr w:type="gramStart"/>
            <w:r w:rsidRPr="00F928FC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F928FC">
              <w:rPr>
                <w:rFonts w:ascii="Times New Roman" w:eastAsia="Calibri" w:hAnsi="Times New Roman" w:cs="Times New Roman"/>
              </w:rPr>
              <w:t xml:space="preserve">справление ошибок прошлых лет по счету </w:t>
            </w:r>
            <w:r w:rsidR="004C654E">
              <w:rPr>
                <w:rFonts w:ascii="Times New Roman" w:eastAsia="Calibri" w:hAnsi="Times New Roman" w:cs="Times New Roman"/>
              </w:rPr>
              <w:t>206</w:t>
            </w:r>
            <w:r w:rsidRPr="00F928FC">
              <w:rPr>
                <w:rFonts w:ascii="Times New Roman" w:eastAsia="Calibri" w:hAnsi="Times New Roman" w:cs="Times New Roman"/>
              </w:rPr>
              <w:t>.</w:t>
            </w:r>
            <w:r w:rsidR="004C654E">
              <w:rPr>
                <w:rFonts w:ascii="Times New Roman" w:eastAsia="Calibri" w:hAnsi="Times New Roman" w:cs="Times New Roman"/>
              </w:rPr>
              <w:t>21 и 209.36</w:t>
            </w:r>
            <w:r w:rsidRPr="00F928FC">
              <w:rPr>
                <w:rFonts w:ascii="Times New Roman" w:eastAsia="Calibri" w:hAnsi="Times New Roman" w:cs="Times New Roman"/>
              </w:rPr>
              <w:t xml:space="preserve"> (несвоевременное отражение фактов хозяйственной жизни в регистрах бухгалтерского учета</w:t>
            </w:r>
            <w:r w:rsidR="004C654E">
              <w:rPr>
                <w:rFonts w:ascii="Times New Roman" w:eastAsia="Calibri" w:hAnsi="Times New Roman" w:cs="Times New Roman"/>
              </w:rPr>
              <w:t>).</w:t>
            </w:r>
          </w:p>
          <w:p w:rsidR="00F928FC" w:rsidRDefault="00F928FC" w:rsidP="00EC22E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C22E6" w:rsidRDefault="00EC22E6" w:rsidP="00EC22E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Форма0503175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принятых и неисполненных обязательствах получателя бюджетных средств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90021">
              <w:rPr>
                <w:rFonts w:ascii="Times New Roman" w:eastAsia="Times New Roman" w:hAnsi="Times New Roman" w:cs="Times New Roman"/>
                <w:lang w:eastAsia="ru-RU"/>
              </w:rPr>
              <w:t>отражены показатели экономии по проведенным процедурам.</w:t>
            </w:r>
          </w:p>
          <w:p w:rsidR="00FF347B" w:rsidRPr="00604C8B" w:rsidRDefault="00604C8B" w:rsidP="00EC22E6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орма 0503190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вложениях в объекты недвижимого имущества, объектах незавершенного строительства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отражены </w:t>
            </w:r>
            <w:r w:rsidRPr="00604C8B">
              <w:rPr>
                <w:rFonts w:ascii="Times New Roman" w:hAnsi="Times New Roman" w:cs="Times New Roman"/>
              </w:rPr>
              <w:t xml:space="preserve">расходы на объекты </w:t>
            </w:r>
            <w:r>
              <w:rPr>
                <w:rFonts w:ascii="Times New Roman" w:hAnsi="Times New Roman" w:cs="Times New Roman"/>
              </w:rPr>
              <w:t>недвижимого имущества</w:t>
            </w:r>
            <w:r w:rsidRPr="00604C8B">
              <w:rPr>
                <w:rFonts w:ascii="Times New Roman" w:hAnsi="Times New Roman" w:cs="Times New Roman"/>
              </w:rPr>
              <w:t xml:space="preserve"> за 202</w:t>
            </w:r>
            <w:r w:rsidR="004C654E">
              <w:rPr>
                <w:rFonts w:ascii="Times New Roman" w:hAnsi="Times New Roman" w:cs="Times New Roman"/>
              </w:rPr>
              <w:t>4</w:t>
            </w:r>
            <w:r w:rsidRPr="00604C8B">
              <w:rPr>
                <w:rFonts w:ascii="Times New Roman" w:hAnsi="Times New Roman" w:cs="Times New Roman"/>
              </w:rPr>
              <w:t xml:space="preserve"> год.</w:t>
            </w:r>
          </w:p>
          <w:p w:rsidR="00CD51A7" w:rsidRDefault="00EC22E6" w:rsidP="003238E4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Счет 401.40 «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>Доходы будущих периодов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23548">
              <w:rPr>
                <w:rFonts w:ascii="Times New Roman" w:eastAsia="Times New Roman" w:hAnsi="Times New Roman" w:cs="Times New Roman"/>
                <w:lang w:eastAsia="ru-RU"/>
              </w:rPr>
              <w:t>муниципальной собственност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ью 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составляют </w:t>
            </w:r>
            <w:r w:rsidR="00683F48">
              <w:rPr>
                <w:rFonts w:ascii="Times New Roman" w:eastAsia="Times New Roman" w:hAnsi="Times New Roman" w:cs="Times New Roman"/>
                <w:lang w:eastAsia="ru-RU"/>
              </w:rPr>
              <w:t>4243513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83F48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, в том числе 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 xml:space="preserve">рендная плата за муниципальное имущество 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на сумму </w:t>
            </w:r>
            <w:r w:rsidR="00683F48">
              <w:rPr>
                <w:rFonts w:ascii="Times New Roman" w:eastAsia="Times New Roman" w:hAnsi="Times New Roman" w:cs="Times New Roman"/>
                <w:lang w:eastAsia="ru-RU"/>
              </w:rPr>
              <w:t>114018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83F48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коп.; а</w:t>
            </w:r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>рендная плата за земельные участки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683F48">
              <w:rPr>
                <w:rFonts w:ascii="Times New Roman" w:eastAsia="Times New Roman" w:hAnsi="Times New Roman" w:cs="Times New Roman"/>
                <w:lang w:eastAsia="ru-RU"/>
              </w:rPr>
              <w:t>2869042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83F4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коп.;</w:t>
            </w:r>
            <w:r w:rsidR="003238E4">
              <w:t xml:space="preserve"> 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 xml:space="preserve">лата за </w:t>
            </w:r>
            <w:proofErr w:type="spellStart"/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>найм</w:t>
            </w:r>
            <w:proofErr w:type="spellEnd"/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жилищного фонда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683F48">
              <w:rPr>
                <w:rFonts w:ascii="Times New Roman" w:eastAsia="Times New Roman" w:hAnsi="Times New Roman" w:cs="Times New Roman"/>
                <w:lang w:eastAsia="ru-RU"/>
              </w:rPr>
              <w:t>1119268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83F48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коп.; д</w:t>
            </w:r>
            <w:r w:rsidR="003238E4" w:rsidRPr="003238E4">
              <w:rPr>
                <w:rFonts w:ascii="Times New Roman" w:eastAsia="Times New Roman" w:hAnsi="Times New Roman" w:cs="Times New Roman"/>
                <w:lang w:eastAsia="ru-RU"/>
              </w:rPr>
              <w:t>оходы от продажи земельных участков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683F48">
              <w:rPr>
                <w:rFonts w:ascii="Times New Roman" w:eastAsia="Times New Roman" w:hAnsi="Times New Roman" w:cs="Times New Roman"/>
                <w:lang w:eastAsia="ru-RU"/>
              </w:rPr>
              <w:t>141184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83F4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3238E4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  <w:proofErr w:type="gramEnd"/>
          </w:p>
          <w:p w:rsidR="003238E4" w:rsidRPr="007344CE" w:rsidRDefault="003238E4" w:rsidP="003238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Счет 401.50 «Расходы будущих периодов»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23548">
              <w:rPr>
                <w:rFonts w:ascii="Times New Roman" w:eastAsia="Times New Roman" w:hAnsi="Times New Roman" w:cs="Times New Roman"/>
                <w:lang w:eastAsia="ru-RU"/>
              </w:rPr>
              <w:t>муниципальной собственност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ью</w:t>
            </w:r>
            <w:r w:rsidRPr="00CD51A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составляют </w:t>
            </w:r>
            <w:r w:rsidR="00737EB9">
              <w:rPr>
                <w:rFonts w:ascii="Times New Roman" w:eastAsia="Times New Roman" w:hAnsi="Times New Roman" w:cs="Times New Roman"/>
                <w:lang w:eastAsia="ru-RU"/>
              </w:rPr>
              <w:t>6593752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737EB9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gramEnd"/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</w:t>
            </w:r>
            <w:r w:rsidR="00737EB9" w:rsidRPr="00737EB9">
              <w:rPr>
                <w:rFonts w:ascii="Times New Roman" w:eastAsia="Times New Roman" w:hAnsi="Times New Roman" w:cs="Times New Roman"/>
                <w:lang w:eastAsia="ru-RU"/>
              </w:rPr>
              <w:t xml:space="preserve">неисключительные права на использование программного обеспечения менее 12 месяцев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37EB9">
              <w:rPr>
                <w:rFonts w:ascii="Times New Roman" w:eastAsia="Times New Roman" w:hAnsi="Times New Roman" w:cs="Times New Roman"/>
                <w:lang w:eastAsia="ru-RU"/>
              </w:rPr>
              <w:t>88564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737EB9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коп., взносы на капитальный ремонт муниципальное имущество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37EB9">
              <w:rPr>
                <w:rFonts w:ascii="Times New Roman" w:eastAsia="Times New Roman" w:hAnsi="Times New Roman" w:cs="Times New Roman"/>
                <w:lang w:eastAsia="ru-RU"/>
              </w:rPr>
              <w:t>6505187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737EB9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AD024C" w:rsidRDefault="00AD024C" w:rsidP="00AD02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Счет 401.60 «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>Резервы предстоящих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по </w:t>
            </w:r>
            <w:r w:rsidRPr="00FA1E81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FA1E8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собственностью 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ШМР 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составляют в сумме </w:t>
            </w:r>
            <w:r w:rsidR="00EC2B48">
              <w:rPr>
                <w:rFonts w:ascii="Times New Roman" w:eastAsia="Times New Roman" w:hAnsi="Times New Roman" w:cs="Times New Roman"/>
                <w:lang w:eastAsia="ru-RU"/>
              </w:rPr>
              <w:t>537567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EC2B48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за неиспользованный 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отпуск 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по выплатам сотрудникам </w:t>
            </w:r>
            <w:r w:rsidR="009F54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C2B48">
              <w:rPr>
                <w:rFonts w:ascii="Times New Roman" w:eastAsia="Times New Roman" w:hAnsi="Times New Roman" w:cs="Times New Roman"/>
                <w:lang w:eastAsia="ru-RU"/>
              </w:rPr>
              <w:t>412878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C2B48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Pr="007344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коп., страховые взносы </w:t>
            </w:r>
            <w:r w:rsidR="00EC2B48">
              <w:rPr>
                <w:rFonts w:ascii="Times New Roman" w:eastAsia="Times New Roman" w:hAnsi="Times New Roman" w:cs="Times New Roman"/>
                <w:lang w:eastAsia="ru-RU"/>
              </w:rPr>
              <w:t>124689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EC2B4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r w:rsidR="00EC2B4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F5483" w:rsidRDefault="009F5483" w:rsidP="00AD024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04A7" w:rsidRPr="003027C5" w:rsidRDefault="002E04A7" w:rsidP="002E0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Принятые бюджетные обязательства 202</w:t>
            </w:r>
            <w:r w:rsidR="00DF32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 не исполнены на сумму </w:t>
            </w:r>
            <w:r w:rsidR="00DF32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112047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F32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3561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</w:t>
            </w:r>
            <w:proofErr w:type="gramStart"/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риняты бюджетные обязательства по зарплате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E04A7" w:rsidRPr="003027C5" w:rsidRDefault="002E04A7" w:rsidP="002E0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Принято бюджетных обязательств  по расходам очередного финансового года в сумме </w:t>
            </w:r>
            <w:r w:rsidR="00E85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8865344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85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</w:t>
            </w:r>
            <w:proofErr w:type="gramStart"/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том числе: </w:t>
            </w:r>
            <w:r w:rsidR="00E85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1228180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805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</w:t>
            </w:r>
            <w:r w:rsidR="00B11F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коп.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переходящий остаток с 202</w:t>
            </w:r>
            <w:r w:rsidR="00E85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г., </w:t>
            </w:r>
            <w:r w:rsidR="00E85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7637164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85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коп.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приняты бюджетные обязательства по зарплате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E85D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E04A7" w:rsidRDefault="002E04A7" w:rsidP="002E04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Принято денежных обязательств по расходам очередного финансового года в сумме </w:t>
            </w:r>
            <w:r w:rsidR="00D32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684771</w:t>
            </w:r>
            <w:r w:rsidR="00805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  <w:r w:rsidR="00805B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32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</w:t>
            </w:r>
            <w:proofErr w:type="gramStart"/>
            <w:r w:rsidRPr="0032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 </w:t>
            </w:r>
            <w:proofErr w:type="gramStart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редиторская задолженность на 01.01.202</w:t>
            </w:r>
            <w:r w:rsidR="00D32C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027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г.)</w:t>
            </w:r>
          </w:p>
          <w:p w:rsidR="00974F5F" w:rsidRPr="00974F5F" w:rsidRDefault="00974F5F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4F5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Расшифровка показателей, отраженных в Справке по заключению счетов</w:t>
            </w:r>
          </w:p>
          <w:p w:rsidR="00AB0902" w:rsidRDefault="00974F5F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74F5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бюджетного учета отчетного финансового года (ф. 0503110) (</w:t>
            </w:r>
            <w:proofErr w:type="spellStart"/>
            <w:r w:rsidRPr="00974F5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справочно</w:t>
            </w:r>
            <w:proofErr w:type="spellEnd"/>
            <w:r w:rsidRPr="00974F5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).</w:t>
            </w:r>
          </w:p>
          <w:tbl>
            <w:tblPr>
              <w:tblW w:w="9893" w:type="dxa"/>
              <w:tblLayout w:type="fixed"/>
              <w:tblLook w:val="04A0" w:firstRow="1" w:lastRow="0" w:firstColumn="1" w:lastColumn="0" w:noHBand="0" w:noVBand="1"/>
            </w:tblPr>
            <w:tblGrid>
              <w:gridCol w:w="1100"/>
              <w:gridCol w:w="3181"/>
              <w:gridCol w:w="1020"/>
              <w:gridCol w:w="1532"/>
              <w:gridCol w:w="3060"/>
            </w:tblGrid>
            <w:tr w:rsidR="00974F5F" w:rsidRPr="00974F5F" w:rsidTr="00974F5F">
              <w:trPr>
                <w:trHeight w:val="720"/>
              </w:trPr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Номер строки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КОСГУ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Пояснения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Доходы от оценки активов и обязательств, всего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DE200D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730 904,93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1.1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1XX.XX, кроме операций с материальными запасами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DE20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-</w:t>
                  </w:r>
                  <w:r w:rsidR="00DE200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730 904,93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переоценка кадастровой стоимости земельных участков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1.2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1XX.XX в части операций с материальными запасами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1.3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204.5X, 205.XX, 206.XX, 208.XX, 209.XX, 210.XX, 215.5X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1.4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204.2X, 215.2X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1.5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204.3X, 215.3X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1.6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207.XX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1.7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302.XX, 303.XX, 304.XX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1.8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счетом 301.XX в части полученных кредитов и займов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1.9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счетом 301.XX в части долговых ценных бумаг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1.10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иное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176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Чрезвычайные доходы от операций с активами, всего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1XX.XX, кроме операций с материальными запасами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2.2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1XX.XX в части операций с материальными запасами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2.3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2XX.XX, за исключением счета 207.XX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2.4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207.XX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иное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Прочие </w:t>
                  </w:r>
                  <w:proofErr w:type="spellStart"/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неденежные</w:t>
                  </w:r>
                  <w:proofErr w:type="spellEnd"/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безвозмездные поступления, всего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DE200D" w:rsidP="00DE200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12 942 50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,75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12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3.1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1XX.XX по операциям с нефинансовыми активами, кроме операций с материальными запасами и непроизведенными активами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DE200D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12 942 504,75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включено в казну ранее не учтенное имущество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3.2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1XX.XX по операциям с материальными запасами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DE200D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1,00</w:t>
                  </w:r>
                  <w:r w:rsidR="00974F5F"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  <w:r w:rsidR="00DE200D" w:rsidRPr="00DE200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включены в казну ранее не учтенные материальные запасы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3.3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1XX.XX по операциям с непроизведенными активами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3.4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204.5X, 205.XX, 206.XX, 208.XX, 209.XX, 210.XX, 215.5X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3.5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204.2X, 215.2X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3.6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 корреспонденции со счетами 204.3X, 215.3X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3.7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иное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199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6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Чрезвычайные расходы по операциям с активами, всего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90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4.1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операций с нефинансовыми активами, кроме чрезвычайных расходов от операций с материальными запасами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4.2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операций с материальными запасами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974F5F" w:rsidRPr="00974F5F" w:rsidTr="00974F5F">
              <w:trPr>
                <w:trHeight w:val="290"/>
              </w:trPr>
              <w:tc>
                <w:tcPr>
                  <w:tcW w:w="11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4.3</w:t>
                  </w:r>
                </w:p>
              </w:tc>
              <w:tc>
                <w:tcPr>
                  <w:tcW w:w="31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ind w:firstLineChars="100" w:firstLine="200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иное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273</w:t>
                  </w:r>
                </w:p>
              </w:tc>
              <w:tc>
                <w:tcPr>
                  <w:tcW w:w="15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74F5F" w:rsidRPr="00974F5F" w:rsidRDefault="00974F5F" w:rsidP="00974F5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74F5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</w:tbl>
          <w:p w:rsidR="00974F5F" w:rsidRPr="00974F5F" w:rsidRDefault="00974F5F" w:rsidP="00974F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:rsidR="00513457" w:rsidRPr="00513457" w:rsidRDefault="00513457" w:rsidP="00513457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13457">
              <w:rPr>
                <w:rFonts w:ascii="Times New Roman" w:eastAsia="Times New Roman" w:hAnsi="Times New Roman" w:cs="Times New Roman"/>
                <w:b/>
                <w:lang w:eastAsia="ru-RU"/>
              </w:rPr>
              <w:t>Ф.0503110_130 «Справка по заключению счетов бюджетного учета текущего финансового года»</w:t>
            </w:r>
          </w:p>
          <w:p w:rsidR="00513457" w:rsidRPr="00AA2972" w:rsidRDefault="00513457" w:rsidP="00513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Показатели, отраженные в справке ф.0503110</w:t>
            </w:r>
          </w:p>
          <w:p w:rsidR="00513457" w:rsidRPr="00AA2972" w:rsidRDefault="00513457" w:rsidP="0051345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 счету 401.10.172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1701"/>
              <w:gridCol w:w="4791"/>
            </w:tblGrid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 w:bidi="ru-RU"/>
                    </w:rPr>
                    <w:t>Корреспондирующий счет</w:t>
                  </w:r>
                </w:p>
              </w:tc>
              <w:tc>
                <w:tcPr>
                  <w:tcW w:w="6492" w:type="dxa"/>
                  <w:gridSpan w:val="2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Код счета бюджетного учета</w:t>
                  </w:r>
                </w:p>
              </w:tc>
            </w:tr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401.10.172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причина</w:t>
                  </w:r>
                </w:p>
              </w:tc>
            </w:tr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Нефинансовые активы,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13457" w:rsidRPr="00D361FD" w:rsidRDefault="0009142D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="003218B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2318791,01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10800000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13457" w:rsidRPr="00D361FD" w:rsidRDefault="003218BD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18278331,72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513457" w:rsidRPr="00D361FD" w:rsidRDefault="00AF546D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Реализация имущества казны и земельных участков</w:t>
                  </w:r>
                </w:p>
              </w:tc>
            </w:tr>
            <w:tr w:rsidR="00AF546D" w:rsidRPr="00AA2972" w:rsidTr="00D361FD">
              <w:tc>
                <w:tcPr>
                  <w:tcW w:w="2830" w:type="dxa"/>
                  <w:shd w:val="clear" w:color="auto" w:fill="auto"/>
                </w:tcPr>
                <w:p w:rsidR="00AF546D" w:rsidRPr="00D361FD" w:rsidRDefault="00AF546D" w:rsidP="00373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10800000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AF546D" w:rsidRPr="00D361FD" w:rsidRDefault="0009142D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="003218B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20597122,73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AF546D" w:rsidRPr="00D361FD" w:rsidRDefault="00AF546D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Приватизация имущества</w:t>
                  </w:r>
                </w:p>
              </w:tc>
            </w:tr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Финансовые активы,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1 20400000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Обязательства,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513457" w:rsidRPr="00AA2972" w:rsidTr="00D361FD">
              <w:tc>
                <w:tcPr>
                  <w:tcW w:w="2830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513457" w:rsidRPr="00D361FD" w:rsidRDefault="0009142D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2318791,01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513457" w:rsidRPr="00D361FD" w:rsidRDefault="00513457" w:rsidP="0037366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F45C9F" w:rsidRDefault="00F45C9F" w:rsidP="00F45C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C302AB" w:rsidRDefault="00C302AB" w:rsidP="00F45C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F45C9F" w:rsidRPr="00AA2972" w:rsidRDefault="00F45C9F" w:rsidP="00F45C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Показатели, отраженные в справке ф.0503110</w:t>
            </w:r>
          </w:p>
          <w:p w:rsidR="00F45C9F" w:rsidRPr="00AA2972" w:rsidRDefault="00F45C9F" w:rsidP="00F45C9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 счету 401.10.17</w:t>
            </w:r>
            <w:r>
              <w:rPr>
                <w:rFonts w:ascii="Times New Roman" w:eastAsia="Times New Roman" w:hAnsi="Times New Roman" w:cs="Times New Roman"/>
                <w:b/>
                <w:lang w:eastAsia="ar-SA"/>
              </w:rPr>
              <w:t>6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1701"/>
              <w:gridCol w:w="4791"/>
            </w:tblGrid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 w:bidi="ru-RU"/>
                    </w:rPr>
                    <w:t>Корреспондирующий счет</w:t>
                  </w:r>
                </w:p>
              </w:tc>
              <w:tc>
                <w:tcPr>
                  <w:tcW w:w="6492" w:type="dxa"/>
                  <w:gridSpan w:val="2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Код счета бюджетного учета</w:t>
                  </w: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F45C9F" w:rsidP="00F45C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401.10.17</w:t>
                  </w: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причина</w:t>
                  </w: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Нефинансовые активы,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09142D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-730904,93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10800000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E56B05" w:rsidP="000914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</w:t>
                  </w:r>
                  <w:r w:rsidR="0009142D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730904,93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5C9F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переоценка кадастровой стоимости земельных участков</w:t>
                  </w: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Финансовые активы,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1 20400000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Обязательства,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F45C9F" w:rsidRPr="00AA2972" w:rsidTr="002F1808">
              <w:tc>
                <w:tcPr>
                  <w:tcW w:w="2830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F45C9F" w:rsidRPr="00D361FD" w:rsidRDefault="0009142D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-730904,93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F45C9F" w:rsidRPr="00D361FD" w:rsidRDefault="00F45C9F" w:rsidP="002F180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F45C9F" w:rsidRDefault="00F45C9F" w:rsidP="00BA2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BA21AB" w:rsidRPr="00AA2972" w:rsidRDefault="00BA21AB" w:rsidP="00BA2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Показатели, отраженные в справке ф.0503110</w:t>
            </w:r>
          </w:p>
          <w:p w:rsidR="00BA21AB" w:rsidRPr="00AA2972" w:rsidRDefault="00BA21AB" w:rsidP="00BA21A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 счету 401.10.189</w:t>
            </w: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0"/>
              <w:gridCol w:w="1701"/>
              <w:gridCol w:w="4791"/>
            </w:tblGrid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  <w:lang w:eastAsia="ru-RU" w:bidi="ru-RU"/>
                    </w:rPr>
                    <w:t>Корреспондирующий счет</w:t>
                  </w:r>
                </w:p>
              </w:tc>
              <w:tc>
                <w:tcPr>
                  <w:tcW w:w="6492" w:type="dxa"/>
                  <w:gridSpan w:val="2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Код счета бюджетного учета</w:t>
                  </w:r>
                </w:p>
              </w:tc>
            </w:tr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401.10.189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причина</w:t>
                  </w:r>
                </w:p>
              </w:tc>
            </w:tr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Нефинансовые активы,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Финансовые активы,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BA21AB" w:rsidRPr="00D361FD" w:rsidRDefault="0009142D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5993,78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205.00.00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BA21AB" w:rsidRPr="00D361FD" w:rsidRDefault="0009142D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5993,78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BA21AB" w:rsidRPr="00D361FD" w:rsidRDefault="00F45326" w:rsidP="00AF6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45326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Поступление доходов за использование земельных участков, государственная собственность на которые не разграничена, для возведения гражданами гаражей, являющихся некапитальными сооружениями</w:t>
                  </w:r>
                </w:p>
              </w:tc>
            </w:tr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Обязательства, всего, в том числе по счетам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BA21AB" w:rsidRPr="00D361FD" w:rsidTr="00D361FD">
              <w:tc>
                <w:tcPr>
                  <w:tcW w:w="2830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D361F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ИТОГО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BA21AB" w:rsidRPr="00D361FD" w:rsidRDefault="0009142D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  <w:t>5993,78</w:t>
                  </w:r>
                </w:p>
              </w:tc>
              <w:tc>
                <w:tcPr>
                  <w:tcW w:w="4791" w:type="dxa"/>
                  <w:shd w:val="clear" w:color="auto" w:fill="auto"/>
                </w:tcPr>
                <w:p w:rsidR="00BA21AB" w:rsidRPr="00D361FD" w:rsidRDefault="00BA21AB" w:rsidP="00AF67E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C302AB" w:rsidRDefault="00C302AB" w:rsidP="00F148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47F0C" w:rsidRDefault="00E47F0C" w:rsidP="00F148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47F0C" w:rsidRDefault="00E47F0C" w:rsidP="00F148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E47F0C" w:rsidRDefault="00E47F0C" w:rsidP="00F148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:rsidR="00F148E6" w:rsidRPr="00AA2972" w:rsidRDefault="00F148E6" w:rsidP="00F148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Показатели, отраженные в справке ф.0503110</w:t>
            </w:r>
          </w:p>
          <w:p w:rsidR="00F148E6" w:rsidRPr="00AA2972" w:rsidRDefault="00F148E6" w:rsidP="00F148E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A2972">
              <w:rPr>
                <w:rFonts w:ascii="Times New Roman" w:eastAsia="Times New Roman" w:hAnsi="Times New Roman" w:cs="Times New Roman"/>
                <w:b/>
                <w:lang w:eastAsia="ar-SA"/>
              </w:rPr>
              <w:t>по счету 401.10.19х</w:t>
            </w:r>
          </w:p>
          <w:tbl>
            <w:tblPr>
              <w:tblW w:w="10328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328"/>
            </w:tblGrid>
            <w:tr w:rsidR="00F148E6" w:rsidRPr="00AA2972" w:rsidTr="00E47F0C">
              <w:trPr>
                <w:trHeight w:val="1783"/>
              </w:trPr>
              <w:tc>
                <w:tcPr>
                  <w:tcW w:w="103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148E6" w:rsidRPr="00AA2972" w:rsidRDefault="00F148E6" w:rsidP="00F148E6">
                  <w:pPr>
                    <w:spacing w:after="0" w:line="240" w:lineRule="auto"/>
                    <w:ind w:right="357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</w:p>
                <w:tbl>
                  <w:tblPr>
                    <w:tblW w:w="929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802"/>
                    <w:gridCol w:w="1701"/>
                    <w:gridCol w:w="4791"/>
                  </w:tblGrid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 w:bidi="ru-RU"/>
                          </w:rPr>
                          <w:t>Корреспондирующий счет</w:t>
                        </w:r>
                      </w:p>
                    </w:tc>
                    <w:tc>
                      <w:tcPr>
                        <w:tcW w:w="6492" w:type="dxa"/>
                        <w:gridSpan w:val="2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Код счета бюджетного учета</w:t>
                        </w: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401.10.191</w:t>
                        </w:r>
                      </w:p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401.10.195</w:t>
                        </w:r>
                      </w:p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401.10.199</w:t>
                        </w:r>
                      </w:p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причина</w:t>
                        </w: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Нефинансовые активы, всего, в том числе по счетам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372708551,06</w:t>
                        </w: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108.00.000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Pr="00AA2972" w:rsidRDefault="0009142D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90651794,22</w:t>
                        </w: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Поступление имущества в казну района</w:t>
                        </w: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108.00.000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Default="0009142D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12942504,75</w:t>
                        </w: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</w:t>
                        </w:r>
                        <w:r w:rsidRPr="00465B05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ключено в казну ранее не учтенное имущество</w:t>
                        </w: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108</w:t>
                        </w:r>
                        <w:r w:rsidRPr="00AA297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.00.000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Pr="00AA2972" w:rsidRDefault="0009142D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182441,00</w:t>
                        </w: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F148E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F148E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Поступление мат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ериальных </w:t>
                        </w:r>
                        <w:r w:rsidRPr="00F148E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запасов в казну района</w:t>
                        </w:r>
                      </w:p>
                    </w:tc>
                  </w:tr>
                  <w:tr w:rsidR="0009142D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09142D" w:rsidRPr="00AA2972" w:rsidRDefault="0009142D" w:rsidP="0058548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108.00.000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09142D" w:rsidRDefault="0009142D" w:rsidP="0058548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1,00</w:t>
                        </w: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09142D" w:rsidRPr="00AA2972" w:rsidRDefault="0009142D" w:rsidP="0058548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</w:t>
                        </w:r>
                        <w:r w:rsidRPr="0009142D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ключены в казну ранее не учтенные материальные запасы</w:t>
                        </w: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Финансовые активы, всего, в том числе по счетам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Обязательства, всего, в том числе по счетам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F148E6" w:rsidRPr="00AA2972" w:rsidTr="002F1808">
                    <w:tc>
                      <w:tcPr>
                        <w:tcW w:w="2802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  <w:r w:rsidRPr="00AA297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ИТОГО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</w:tcPr>
                      <w:p w:rsidR="00F148E6" w:rsidRPr="00AA2972" w:rsidRDefault="0009142D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  <w:t>103776740,97</w:t>
                        </w:r>
                      </w:p>
                    </w:tc>
                    <w:tc>
                      <w:tcPr>
                        <w:tcW w:w="4791" w:type="dxa"/>
                        <w:shd w:val="clear" w:color="auto" w:fill="auto"/>
                      </w:tcPr>
                      <w:p w:rsidR="00F148E6" w:rsidRPr="00AA2972" w:rsidRDefault="00F148E6" w:rsidP="002F180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F148E6" w:rsidRPr="00AA2972" w:rsidRDefault="00F148E6" w:rsidP="002F1808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C302AB" w:rsidRPr="00C302AB" w:rsidRDefault="00C302AB" w:rsidP="00C302AB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61FD" w:rsidRDefault="00C302AB" w:rsidP="00FA49E2">
            <w:pPr>
              <w:shd w:val="clear" w:color="auto" w:fill="FFFFFF" w:themeFill="background1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02AB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показателях </w:t>
            </w:r>
            <w:r w:rsidR="00F25AC5">
              <w:rPr>
                <w:rFonts w:ascii="Times New Roman" w:eastAsia="Times New Roman" w:hAnsi="Times New Roman" w:cs="Times New Roman"/>
                <w:lang w:eastAsia="ru-RU"/>
              </w:rPr>
              <w:t xml:space="preserve">бухгалтерской </w:t>
            </w:r>
            <w:r w:rsidR="00FA49E2">
              <w:rPr>
                <w:rFonts w:ascii="Times New Roman" w:eastAsia="Times New Roman" w:hAnsi="Times New Roman" w:cs="Times New Roman"/>
                <w:lang w:eastAsia="ru-RU"/>
              </w:rPr>
              <w:t xml:space="preserve">(финансовой) отчетности </w:t>
            </w:r>
            <w:r w:rsidRPr="00C302AB">
              <w:rPr>
                <w:rFonts w:ascii="Times New Roman" w:eastAsia="Times New Roman" w:hAnsi="Times New Roman" w:cs="Times New Roman"/>
                <w:lang w:eastAsia="ru-RU"/>
              </w:rPr>
              <w:t xml:space="preserve">по сегментам </w:t>
            </w:r>
          </w:p>
          <w:p w:rsidR="00E47F0C" w:rsidRDefault="00E47F0C" w:rsidP="00FA49E2">
            <w:pPr>
              <w:shd w:val="clear" w:color="auto" w:fill="FFFFFF" w:themeFill="background1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433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89"/>
              <w:gridCol w:w="3165"/>
              <w:gridCol w:w="927"/>
              <w:gridCol w:w="1134"/>
              <w:gridCol w:w="1559"/>
              <w:gridCol w:w="1559"/>
            </w:tblGrid>
            <w:tr w:rsidR="002F1808" w:rsidRPr="00F25AC5" w:rsidTr="004419CA">
              <w:trPr>
                <w:trHeight w:val="50"/>
              </w:trPr>
              <w:tc>
                <w:tcPr>
                  <w:tcW w:w="1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№ </w:t>
                  </w:r>
                  <w:proofErr w:type="gramStart"/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</w:t>
                  </w:r>
                </w:p>
              </w:tc>
              <w:tc>
                <w:tcPr>
                  <w:tcW w:w="3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9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код строки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код по КОСГУ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033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 01.01.202</w:t>
                  </w:r>
                  <w:r w:rsidR="00033C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033C4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 01.01.202</w:t>
                  </w:r>
                  <w:r w:rsidR="00033C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</w:t>
                  </w: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c>
            </w:tr>
            <w:tr w:rsidR="002F1808" w:rsidRPr="00F25AC5" w:rsidTr="004419CA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F1808" w:rsidRPr="00F25AC5" w:rsidRDefault="002F1808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</w:tr>
            <w:tr w:rsidR="002553CA" w:rsidRPr="00F25AC5" w:rsidTr="004419CA">
              <w:trPr>
                <w:trHeight w:val="627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53CA" w:rsidRPr="00F25AC5" w:rsidRDefault="002553CA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53CA" w:rsidRPr="00F25AC5" w:rsidRDefault="002553CA" w:rsidP="002F1808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общая величина признанных доходов за период, а также показатели по следующим доходам: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53CA" w:rsidRPr="00F25AC5" w:rsidRDefault="002553CA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010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53CA" w:rsidRPr="00F25AC5" w:rsidRDefault="002553CA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553CA" w:rsidRPr="00F25AC5" w:rsidRDefault="002553CA" w:rsidP="005854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383 217 366,45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553CA" w:rsidRPr="002553CA" w:rsidRDefault="002553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2553C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114 625 313,50</w:t>
                  </w:r>
                </w:p>
              </w:tc>
            </w:tr>
            <w:tr w:rsidR="00033C44" w:rsidRPr="00F25AC5" w:rsidTr="004419CA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3C44" w:rsidRPr="00F25AC5" w:rsidRDefault="00033C44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3C44" w:rsidRPr="00F25AC5" w:rsidRDefault="00033C44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доходам от собственности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3C44" w:rsidRPr="00F25AC5" w:rsidRDefault="00033C44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3C44" w:rsidRPr="00F25AC5" w:rsidRDefault="00033C44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3C44" w:rsidRPr="00F25AC5" w:rsidRDefault="00033C44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13 829 848,71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3C44" w:rsidRPr="002553CA" w:rsidRDefault="002553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2553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13 892 274,69</w:t>
                  </w:r>
                </w:p>
              </w:tc>
            </w:tr>
            <w:tr w:rsidR="00033C44" w:rsidRPr="00F25AC5" w:rsidTr="004419CA">
              <w:trPr>
                <w:trHeight w:val="46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3C44" w:rsidRPr="00F25AC5" w:rsidRDefault="00033C44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3C44" w:rsidRPr="00F25AC5" w:rsidRDefault="00033C44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доходам от оказания платных услуг (работ), компенсаций затрат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3C44" w:rsidRPr="00F25AC5" w:rsidRDefault="00033C44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3C44" w:rsidRPr="00F25AC5" w:rsidRDefault="00033C44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33C44" w:rsidRPr="00F25AC5" w:rsidRDefault="00033C44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5 330,59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33C44" w:rsidRPr="002553CA" w:rsidRDefault="00033C44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4419CA" w:rsidRPr="00F25AC5" w:rsidTr="004419CA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1.6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доходам от операций с активами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-3 327 825,29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-3 049 695,94</w:t>
                  </w:r>
                </w:p>
              </w:tc>
            </w:tr>
            <w:tr w:rsidR="004419CA" w:rsidRPr="00F25AC5" w:rsidTr="004419CA">
              <w:trPr>
                <w:trHeight w:val="6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общая величина признанных расходов за период, а также показатели по следующим расходам: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14 326 712,81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28 095 746,19</w:t>
                  </w:r>
                </w:p>
              </w:tc>
            </w:tr>
            <w:tr w:rsidR="004419CA" w:rsidRPr="00F25AC5" w:rsidTr="004419CA">
              <w:trPr>
                <w:trHeight w:val="46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оплате труда, начислениям на выплаты по оплате труда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7 529 704,95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9542218,11</w:t>
                  </w:r>
                </w:p>
              </w:tc>
            </w:tr>
            <w:tr w:rsidR="004419CA" w:rsidRPr="00F25AC5" w:rsidTr="004419CA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2.2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оплате работ, услуг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2 445 217,58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3489411,29</w:t>
                  </w:r>
                </w:p>
              </w:tc>
            </w:tr>
            <w:tr w:rsidR="004419CA" w:rsidRPr="00F25AC5" w:rsidTr="004419CA">
              <w:trPr>
                <w:trHeight w:val="46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2.4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субсидиям, грантам, имущественным взносам предоставленным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6 175,85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182441,00</w:t>
                  </w:r>
                </w:p>
              </w:tc>
            </w:tr>
            <w:tr w:rsidR="004419CA" w:rsidRPr="00F25AC5" w:rsidTr="004419CA">
              <w:trPr>
                <w:trHeight w:val="46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2.5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межбюджетным трансфертам предоставленным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36 205,13</w:t>
                  </w:r>
                </w:p>
              </w:tc>
            </w:tr>
            <w:tr w:rsidR="004419CA" w:rsidRPr="00F25AC5" w:rsidTr="004419CA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2.6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социальному обеспечению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31 233,74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26 414,24</w:t>
                  </w:r>
                </w:p>
              </w:tc>
            </w:tr>
            <w:tr w:rsidR="004419CA" w:rsidRPr="00F25AC5" w:rsidTr="004419CA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2.7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операциям с активами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283 483,16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194 895,00</w:t>
                  </w:r>
                </w:p>
              </w:tc>
            </w:tr>
            <w:tr w:rsidR="004419CA" w:rsidRPr="00F25AC5" w:rsidTr="004419CA">
              <w:trPr>
                <w:trHeight w:val="46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2.8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налогам, пошлинам, сборам и иным обязательным платежам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5 200,02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5 450,00</w:t>
                  </w:r>
                </w:p>
              </w:tc>
            </w:tr>
            <w:tr w:rsidR="004419CA" w:rsidRPr="00F25AC5" w:rsidTr="004419CA">
              <w:trPr>
                <w:trHeight w:val="416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lastRenderedPageBreak/>
                    <w:t>3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350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929 320 452,64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998 015 133,98</w:t>
                  </w:r>
                </w:p>
              </w:tc>
            </w:tr>
            <w:tr w:rsidR="004419CA" w:rsidRPr="00F25AC5" w:rsidTr="004419CA">
              <w:trPr>
                <w:trHeight w:val="46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3.3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имуществу, составляющему государственную (муниципальную) казну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912 083 830,37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980 483 354,13</w:t>
                  </w:r>
                </w:p>
              </w:tc>
            </w:tr>
            <w:tr w:rsidR="004419CA" w:rsidRPr="00F25AC5" w:rsidTr="004419CA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3.5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финансовым вложениям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6 680 278,00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6 680 278,00</w:t>
                  </w:r>
                </w:p>
              </w:tc>
            </w:tr>
            <w:tr w:rsidR="004419CA" w:rsidRPr="00F25AC5" w:rsidTr="004419CA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3.6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расчетам по доходам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4 658 847,96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4 243 513,80</w:t>
                  </w:r>
                </w:p>
              </w:tc>
            </w:tr>
            <w:tr w:rsidR="004419CA" w:rsidRPr="00F25AC5" w:rsidTr="004419CA">
              <w:trPr>
                <w:trHeight w:val="6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общая величина обязательств на конец периода, а также показатели по следующим обязательствам: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5 605 804,97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8"/>
                      <w:szCs w:val="18"/>
                    </w:rPr>
                    <w:t>5 478 987,99</w:t>
                  </w:r>
                </w:p>
              </w:tc>
            </w:tr>
            <w:tr w:rsidR="004419CA" w:rsidRPr="00F25AC5" w:rsidTr="004419CA">
              <w:trPr>
                <w:trHeight w:val="465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4.2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прочим расчетам с кредиторами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410, 430, 470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350 449,80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413 466,42</w:t>
                  </w:r>
                </w:p>
              </w:tc>
            </w:tr>
            <w:tr w:rsidR="004419CA" w:rsidRPr="00F25AC5" w:rsidTr="004419CA">
              <w:trPr>
                <w:trHeight w:val="290"/>
              </w:trPr>
              <w:tc>
                <w:tcPr>
                  <w:tcW w:w="10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4.3</w:t>
                  </w:r>
                </w:p>
              </w:tc>
              <w:tc>
                <w:tcPr>
                  <w:tcW w:w="3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расчетам по платежам в бюджеты</w:t>
                  </w:r>
                </w:p>
              </w:tc>
              <w:tc>
                <w:tcPr>
                  <w:tcW w:w="9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2F1808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419CA" w:rsidRPr="00F25AC5" w:rsidRDefault="004419CA" w:rsidP="00585480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25AC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204 331,71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419CA" w:rsidRPr="004419CA" w:rsidRDefault="004419C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19C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284 439,97</w:t>
                  </w:r>
                </w:p>
              </w:tc>
            </w:tr>
          </w:tbl>
          <w:p w:rsidR="00E47F0C" w:rsidRPr="00324F60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24F60">
              <w:rPr>
                <w:rFonts w:ascii="Times New Roman" w:eastAsia="Calibri" w:hAnsi="Times New Roman" w:cs="Times New Roman"/>
                <w:b/>
              </w:rPr>
              <w:t>Сведения о показателях бухгалтерской (фина</w:t>
            </w:r>
            <w:r>
              <w:rPr>
                <w:rFonts w:ascii="Times New Roman" w:eastAsia="Calibri" w:hAnsi="Times New Roman" w:cs="Times New Roman"/>
                <w:b/>
              </w:rPr>
              <w:t>нсовой) отчетности по сегментам</w:t>
            </w:r>
          </w:p>
          <w:p w:rsidR="00E47F0C" w:rsidRDefault="00E47F0C" w:rsidP="00E47F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0C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</w:t>
            </w:r>
          </w:p>
          <w:p w:rsidR="00E47F0C" w:rsidRDefault="00E47F0C" w:rsidP="00E47F0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22E6">
              <w:rPr>
                <w:rFonts w:ascii="Times New Roman" w:eastAsia="Times New Roman" w:hAnsi="Times New Roman" w:cs="Times New Roman"/>
                <w:lang w:eastAsia="ru-RU"/>
              </w:rPr>
              <w:t>Раздел 5 «Прочие вопросы деятельности субъекта бюджетной деятельности».</w:t>
            </w:r>
          </w:p>
          <w:p w:rsidR="00E47F0C" w:rsidRDefault="00E47F0C" w:rsidP="00E47F0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5AC5">
              <w:rPr>
                <w:rFonts w:ascii="Times New Roman" w:eastAsia="Times New Roman" w:hAnsi="Times New Roman"/>
                <w:lang w:eastAsia="ru-RU"/>
              </w:rPr>
              <w:t xml:space="preserve">Таблица № 1 </w:t>
            </w:r>
            <w:r w:rsidRPr="00F25AC5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F25AC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Сведения об основных направлениях деятельности», </w:t>
            </w:r>
            <w:r w:rsidRPr="00F25AC5">
              <w:rPr>
                <w:rFonts w:ascii="Times New Roman" w:eastAsia="Times New Roman" w:hAnsi="Times New Roman"/>
                <w:lang w:eastAsia="ru-RU"/>
              </w:rPr>
              <w:t>Таблица № 3 «Сведения об исполнении текстовых статей закона (решения) о бюджете», таблица № 4 «Сведения об особенностях ведения бюджетного учета», таблица № 14 «Анализ показателей отчетности субъекта бюджетной отчетности», таблица № 15 «Причины увеличения просроченной задолженности» не заполнялись, т.к. отсутствуют показатели.</w:t>
            </w:r>
          </w:p>
          <w:p w:rsidR="00E47F0C" w:rsidRPr="00974F5F" w:rsidRDefault="00E47F0C" w:rsidP="00E47F0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5AC5">
              <w:rPr>
                <w:rFonts w:ascii="Times New Roman" w:eastAsia="Times New Roman" w:hAnsi="Times New Roman" w:cs="Times New Roman"/>
                <w:lang w:eastAsia="ru-RU"/>
              </w:rPr>
              <w:t xml:space="preserve">Перед составлением  годовой бюджетной отчетности проведена инвентаризация имущества и финансовых обязательств, закрепленных на праве оперативного управления за Управлением муниципальной собственности администрации ШМР решениями  о проведении инвентаризации № </w:t>
            </w:r>
            <w:r w:rsidR="003F3620">
              <w:rPr>
                <w:rFonts w:ascii="Times New Roman" w:eastAsia="Times New Roman" w:hAnsi="Times New Roman" w:cs="Times New Roman"/>
                <w:lang w:eastAsia="ru-RU"/>
              </w:rPr>
              <w:t>42,43</w:t>
            </w:r>
            <w:r w:rsidRPr="00F25AC5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3F362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Pr="00F25AC5">
              <w:rPr>
                <w:rFonts w:ascii="Times New Roman" w:eastAsia="Times New Roman" w:hAnsi="Times New Roman" w:cs="Times New Roman"/>
                <w:lang w:eastAsia="ru-RU"/>
              </w:rPr>
              <w:t>.11.202</w:t>
            </w:r>
            <w:r w:rsidR="003F362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F25AC5">
              <w:rPr>
                <w:rFonts w:ascii="Times New Roman" w:eastAsia="Times New Roman" w:hAnsi="Times New Roman" w:cs="Times New Roman"/>
                <w:lang w:eastAsia="ru-RU"/>
              </w:rPr>
              <w:t xml:space="preserve"> года, расхождений по инвентаризации нет.</w:t>
            </w:r>
            <w:r w:rsidRPr="00481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4F5F">
              <w:rPr>
                <w:rFonts w:ascii="Times New Roman" w:eastAsia="Times New Roman" w:hAnsi="Times New Roman" w:cs="Times New Roman"/>
                <w:lang w:eastAsia="ru-RU"/>
              </w:rPr>
              <w:t>В связи с отсутствием расхождений по результатам годовой инвентаризации, таблица №</w:t>
            </w:r>
            <w:r w:rsidR="00377E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74F5F">
              <w:rPr>
                <w:rFonts w:ascii="Times New Roman" w:eastAsia="Times New Roman" w:hAnsi="Times New Roman" w:cs="Times New Roman"/>
                <w:lang w:eastAsia="ru-RU"/>
              </w:rPr>
              <w:t>6 не заполнялась.</w:t>
            </w:r>
          </w:p>
          <w:p w:rsidR="00E47F0C" w:rsidRDefault="00E47F0C" w:rsidP="00E47F0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В виду отсутствия числовых значений показателей в состав бюджетной отчетности за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F362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год не вошли следующие формы отчетности: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 о выполнении мероприятий в рамках целевых программ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0503166,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целевых иностранных кредитах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0503167,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>суда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рственном (муниципальном) долге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 xml:space="preserve">, предоставленных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бюджетных 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>кредитах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орма050317</w:t>
            </w:r>
            <w:r w:rsidRPr="006E523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«</w:t>
            </w:r>
            <w:r w:rsidRPr="0050344B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0344B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50344B">
              <w:rPr>
                <w:rFonts w:ascii="Times New Roman" w:eastAsia="Times New Roman" w:hAnsi="Times New Roman" w:cs="Times New Roman"/>
                <w:lang w:eastAsia="ru-RU"/>
              </w:rPr>
              <w:t>доходах бюджета от перечисления части прибыли (дивидендов) государственных (муниципальных)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</w:t>
            </w:r>
            <w:r w:rsidRPr="0050344B">
              <w:rPr>
                <w:rFonts w:ascii="Times New Roman" w:eastAsia="Times New Roman" w:hAnsi="Times New Roman" w:cs="Times New Roman"/>
                <w:lang w:eastAsia="ru-RU"/>
              </w:rPr>
              <w:t>нитарных предприятий, иных организаций с государственным участием в капитале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форма 0503174, </w:t>
            </w:r>
            <w:r w:rsidRPr="00FA49E2">
              <w:rPr>
                <w:rFonts w:ascii="Times New Roman" w:eastAsia="Times New Roman" w:hAnsi="Times New Roman" w:cs="Times New Roman"/>
                <w:lang w:eastAsia="ru-RU"/>
              </w:rPr>
              <w:t>«Сведения об остатках денежных средств на счетах получателя бюджетных средств»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7E4E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FA49E2">
              <w:rPr>
                <w:rFonts w:ascii="Times New Roman" w:eastAsia="Times New Roman" w:hAnsi="Times New Roman" w:cs="Times New Roman"/>
                <w:lang w:eastAsia="ru-RU"/>
              </w:rPr>
              <w:t>орма</w:t>
            </w:r>
            <w:r w:rsidR="00377E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A49E2">
              <w:rPr>
                <w:rFonts w:ascii="Times New Roman" w:eastAsia="Times New Roman" w:hAnsi="Times New Roman" w:cs="Times New Roman"/>
                <w:lang w:eastAsia="ru-RU"/>
              </w:rPr>
              <w:t>0503178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Справка о суммах консолидируемых поступлений,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подлежащих зачислению на счет бюджета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0503184,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об исполнении судебных решений по денежным обязательствам бюджета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форма 0503296. </w:t>
            </w:r>
          </w:p>
          <w:p w:rsidR="009805EF" w:rsidRDefault="00E47F0C" w:rsidP="00E47F0C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Бюджетный учет </w:t>
            </w:r>
            <w:r w:rsidRPr="00C937AB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Управления муниципальной собственности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  в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3F362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году велся в соответствии с приказом МФ РФ от 06 декабря 2010 г. № 162н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изменениями, с</w:t>
            </w:r>
            <w:proofErr w:type="gramEnd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приказом МФ РФ от 01 декабря 2010 г.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внебюджетными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фондами, государственных академий наук, государственных (муниципальных) учреждений и инструкции по его применению»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с изменениями, федеральными стандартами.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</w:p>
          <w:p w:rsidR="009805EF" w:rsidRPr="00EC22E6" w:rsidRDefault="00E47F0C" w:rsidP="00980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    </w:t>
            </w:r>
            <w:r w:rsidR="009805EF" w:rsidRPr="00EC22E6">
              <w:rPr>
                <w:rFonts w:ascii="Times New Roman" w:eastAsia="Times New Roman" w:hAnsi="Times New Roman" w:cs="Times New Roman"/>
                <w:lang w:eastAsia="ru-RU"/>
              </w:rPr>
              <w:t xml:space="preserve">           Годовая отчетность об исполнении </w:t>
            </w:r>
            <w:proofErr w:type="gramStart"/>
            <w:r w:rsidR="009805EF" w:rsidRPr="00EC22E6">
              <w:rPr>
                <w:rFonts w:ascii="Times New Roman" w:eastAsia="Times New Roman" w:hAnsi="Times New Roman" w:cs="Times New Roman"/>
                <w:lang w:eastAsia="ru-RU"/>
              </w:rPr>
              <w:t xml:space="preserve">бюджета Управления муниципальной собственности </w:t>
            </w:r>
            <w:r w:rsidR="009805EF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9805EF" w:rsidRPr="00EC22E6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  <w:proofErr w:type="gramEnd"/>
            <w:r w:rsidR="009805EF" w:rsidRPr="00EC22E6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составлена в соответствии с приказом МФ РФ от</w:t>
            </w:r>
            <w:r w:rsidR="009805E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805EF" w:rsidRPr="00EC22E6">
              <w:rPr>
                <w:rFonts w:ascii="Times New Roman" w:eastAsia="Times New Roman" w:hAnsi="Times New Roman" w:cs="Times New Roman"/>
                <w:lang w:eastAsia="ru-RU"/>
              </w:rPr>
              <w:t xml:space="preserve"> 28.12.2010г. № 191н «Об утверждении Инструкции о порядке составления и предоставления</w:t>
            </w:r>
          </w:p>
          <w:p w:rsidR="009805EF" w:rsidRDefault="009805EF" w:rsidP="00980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22E6">
              <w:rPr>
                <w:rFonts w:ascii="Times New Roman" w:eastAsia="Times New Roman" w:hAnsi="Times New Roman" w:cs="Times New Roman"/>
                <w:lang w:eastAsia="ru-RU"/>
              </w:rPr>
              <w:t>годовой, квартальной и месячной отчетности об исполнении бюджетов бюджетной системы Российской Федерации» с изменениями (</w:t>
            </w:r>
            <w:r w:rsidR="00ED1AF4" w:rsidRPr="00ED1AF4">
              <w:rPr>
                <w:rFonts w:ascii="Times New Roman" w:eastAsia="Times New Roman" w:hAnsi="Times New Roman" w:cs="Times New Roman"/>
                <w:lang w:eastAsia="ru-RU"/>
              </w:rPr>
              <w:t>приказ МФ РФ от 07.11.23 № 180н</w:t>
            </w:r>
            <w:r w:rsidRPr="00EC22E6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:rsidR="009805EF" w:rsidRPr="00EC22E6" w:rsidRDefault="009805EF" w:rsidP="00980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C22E6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C22E6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Бюджетный учет в Управлении муниципальной собственности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EC22E6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  ведется с применением Программы «АС Смета 3.2».</w:t>
            </w:r>
          </w:p>
          <w:p w:rsidR="009805EF" w:rsidRPr="00662052" w:rsidRDefault="00E47F0C" w:rsidP="00E47F0C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</w:p>
          <w:tbl>
            <w:tblPr>
              <w:tblW w:w="9960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425"/>
              <w:gridCol w:w="1660"/>
              <w:gridCol w:w="1660"/>
              <w:gridCol w:w="1500"/>
              <w:gridCol w:w="160"/>
              <w:gridCol w:w="123"/>
              <w:gridCol w:w="113"/>
              <w:gridCol w:w="1547"/>
              <w:gridCol w:w="772"/>
            </w:tblGrid>
            <w:tr w:rsidR="009805EF" w:rsidRPr="00D478EB" w:rsidTr="004A3948">
              <w:trPr>
                <w:gridAfter w:val="1"/>
                <w:wAfter w:w="772" w:type="dxa"/>
                <w:trHeight w:val="40"/>
              </w:trPr>
              <w:tc>
                <w:tcPr>
                  <w:tcW w:w="242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Руководитель </w:t>
                  </w:r>
                </w:p>
              </w:tc>
              <w:tc>
                <w:tcPr>
                  <w:tcW w:w="4820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478EB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2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А.А.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Бутина</w:t>
                  </w:r>
                  <w:proofErr w:type="spellEnd"/>
                </w:p>
              </w:tc>
            </w:tr>
            <w:tr w:rsidR="009805EF" w:rsidRPr="00D478EB" w:rsidTr="004A3948">
              <w:trPr>
                <w:gridAfter w:val="1"/>
                <w:wAfter w:w="772" w:type="dxa"/>
                <w:trHeight w:val="574"/>
              </w:trPr>
              <w:tc>
                <w:tcPr>
                  <w:tcW w:w="242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820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805EF" w:rsidRPr="00FA49E2" w:rsidRDefault="009805EF" w:rsidP="004A394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Сертификат: </w:t>
                  </w:r>
                  <w:r w:rsidR="00F64C68" w:rsidRPr="00F64C6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4C12D2BD9B842FEA8BB5C38E14D8075D</w:t>
                  </w:r>
                </w:p>
                <w:p w:rsidR="009805EF" w:rsidRPr="00FA49E2" w:rsidRDefault="009805EF" w:rsidP="004A3948">
                  <w:pPr>
                    <w:spacing w:after="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Владелец: </w:t>
                  </w:r>
                  <w:proofErr w:type="spellStart"/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Бутина</w:t>
                  </w:r>
                  <w:proofErr w:type="spellEnd"/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 Анна Александровна</w:t>
                  </w:r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ab/>
                  </w:r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ab/>
                  </w:r>
                </w:p>
                <w:p w:rsidR="009805EF" w:rsidRPr="00D478EB" w:rsidRDefault="009805EF" w:rsidP="004A3948">
                  <w:pPr>
                    <w:spacing w:after="0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 xml:space="preserve">Действителен </w:t>
                  </w:r>
                  <w:r w:rsidR="00F64C68" w:rsidRPr="00F64C68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>с 23.05.2024 по 16.08.2025</w:t>
                  </w:r>
                  <w:bookmarkStart w:id="0" w:name="_GoBack"/>
                  <w:bookmarkEnd w:id="0"/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ab/>
                  </w:r>
                  <w:r w:rsidRPr="00FA49E2"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  <w:tab/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(расшифровка подписи)</w:t>
                  </w:r>
                </w:p>
              </w:tc>
            </w:tr>
            <w:tr w:rsidR="009805EF" w:rsidRPr="00D478EB" w:rsidTr="004A3948">
              <w:trPr>
                <w:gridAfter w:val="2"/>
                <w:wAfter w:w="2319" w:type="dxa"/>
                <w:trHeight w:val="250"/>
              </w:trPr>
              <w:tc>
                <w:tcPr>
                  <w:tcW w:w="2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805EF" w:rsidRPr="00D478EB" w:rsidTr="004A3948">
              <w:trPr>
                <w:trHeight w:val="280"/>
              </w:trPr>
              <w:tc>
                <w:tcPr>
                  <w:tcW w:w="242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Руководитель </w:t>
                  </w:r>
                </w:p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 ШМР "ЦБУ"</w:t>
                  </w:r>
                </w:p>
              </w:tc>
              <w:tc>
                <w:tcPr>
                  <w:tcW w:w="4820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478EB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И.А. </w:t>
                  </w:r>
                  <w:proofErr w:type="spellStart"/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Сопот</w:t>
                  </w:r>
                  <w:proofErr w:type="spellEnd"/>
                </w:p>
              </w:tc>
            </w:tr>
            <w:tr w:rsidR="009805EF" w:rsidRPr="00D478EB" w:rsidTr="004A3948">
              <w:trPr>
                <w:trHeight w:val="678"/>
              </w:trPr>
              <w:tc>
                <w:tcPr>
                  <w:tcW w:w="242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820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805EF" w:rsidRPr="00FA49E2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49E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Сертификат: 00AAC81F6104B1E9B1EDB6B18B3A36E1C3</w:t>
                  </w:r>
                </w:p>
                <w:p w:rsidR="009805EF" w:rsidRPr="00FA49E2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49E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Владелец: </w:t>
                  </w:r>
                  <w:proofErr w:type="spellStart"/>
                  <w:r w:rsidRPr="00FA49E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Сопот</w:t>
                  </w:r>
                  <w:proofErr w:type="spellEnd"/>
                  <w:r w:rsidRPr="00FA49E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Ирина Александровна</w:t>
                  </w:r>
                  <w:r w:rsidRPr="00FA49E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  <w:r w:rsidRPr="00FA49E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49E2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Действителен с 25.12.2023 по 19.03.2025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805EF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(расшифровка </w:t>
                  </w:r>
                  <w:proofErr w:type="gramEnd"/>
                </w:p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подписи)</w:t>
                  </w:r>
                </w:p>
              </w:tc>
            </w:tr>
            <w:tr w:rsidR="009805EF" w:rsidRPr="00D478EB" w:rsidTr="004A3948">
              <w:trPr>
                <w:gridAfter w:val="2"/>
                <w:wAfter w:w="2319" w:type="dxa"/>
                <w:trHeight w:val="250"/>
              </w:trPr>
              <w:tc>
                <w:tcPr>
                  <w:tcW w:w="2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9805EF" w:rsidRPr="00D478EB" w:rsidTr="004A3948">
              <w:trPr>
                <w:trHeight w:val="280"/>
              </w:trPr>
              <w:tc>
                <w:tcPr>
                  <w:tcW w:w="242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Главный бухгалтер </w:t>
                  </w:r>
                </w:p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 ШМР "ЦБУ"</w:t>
                  </w:r>
                </w:p>
              </w:tc>
              <w:tc>
                <w:tcPr>
                  <w:tcW w:w="4820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D478EB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И.М. </w:t>
                  </w:r>
                  <w:proofErr w:type="spellStart"/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Кунина</w:t>
                  </w:r>
                  <w:proofErr w:type="spellEnd"/>
                </w:p>
              </w:tc>
            </w:tr>
            <w:tr w:rsidR="009805EF" w:rsidRPr="00D478EB" w:rsidTr="004A3948">
              <w:trPr>
                <w:trHeight w:val="880"/>
              </w:trPr>
              <w:tc>
                <w:tcPr>
                  <w:tcW w:w="242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820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9805EF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A49E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Сертификат: </w:t>
                  </w:r>
                  <w:r w:rsidR="00A3623D" w:rsidRPr="001412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0DD95948C073C0FF191C291DC364BF30</w:t>
                  </w:r>
                </w:p>
                <w:p w:rsidR="009805EF" w:rsidRPr="00FA49E2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FA49E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Владелец: </w:t>
                  </w:r>
                  <w:proofErr w:type="spellStart"/>
                  <w:r w:rsidRPr="00FA49E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Кунина</w:t>
                  </w:r>
                  <w:proofErr w:type="spellEnd"/>
                  <w:r w:rsidRPr="00FA49E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 Ирина Михайловна</w:t>
                  </w:r>
                  <w:r w:rsidRPr="00FA49E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  <w:r w:rsidRPr="00FA49E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</w:p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FA49E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Действителен </w:t>
                  </w:r>
                  <w:r w:rsidR="00A3623D" w:rsidRPr="001412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с 25.04.2024 по 19.07.2025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9805EF" w:rsidRPr="00D478EB" w:rsidRDefault="009805EF" w:rsidP="004A39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98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9805EF" w:rsidRDefault="009805EF" w:rsidP="004A39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gramStart"/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(расшифровка</w:t>
                  </w:r>
                  <w:proofErr w:type="gramEnd"/>
                </w:p>
                <w:p w:rsidR="009805EF" w:rsidRPr="00D478EB" w:rsidRDefault="009805EF" w:rsidP="004A39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D478EB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подписи)</w:t>
                  </w:r>
                </w:p>
              </w:tc>
            </w:tr>
          </w:tbl>
          <w:p w:rsidR="00974F5F" w:rsidRPr="00085999" w:rsidRDefault="00E47F0C" w:rsidP="00E47F0C">
            <w:pPr>
              <w:shd w:val="clear" w:color="auto" w:fill="FFFFFF" w:themeFill="background1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</w:t>
            </w:r>
          </w:p>
        </w:tc>
      </w:tr>
      <w:tr w:rsidR="00662052" w:rsidRPr="00662052" w:rsidTr="00E47F0C">
        <w:trPr>
          <w:trHeight w:val="60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862F2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E47F0C">
        <w:trPr>
          <w:trHeight w:val="80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61885" w:rsidRDefault="00C61885"/>
    <w:p w:rsidR="00C61885" w:rsidRDefault="00C61885" w:rsidP="00C6188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  <w:sectPr w:rsidR="00C61885" w:rsidSect="00342B8B">
          <w:pgSz w:w="11906" w:h="16838"/>
          <w:pgMar w:top="1418" w:right="1021" w:bottom="1134" w:left="1701" w:header="709" w:footer="709" w:gutter="0"/>
          <w:cols w:space="708"/>
          <w:docGrid w:linePitch="360"/>
        </w:sectPr>
      </w:pPr>
    </w:p>
    <w:p w:rsidR="00C61885" w:rsidRPr="00455293" w:rsidRDefault="00C61885">
      <w:pPr>
        <w:rPr>
          <w:rFonts w:ascii="Times New Roman" w:hAnsi="Times New Roman" w:cs="Times New Roman"/>
        </w:rPr>
      </w:pPr>
    </w:p>
    <w:sectPr w:rsidR="00C61885" w:rsidRPr="00455293" w:rsidSect="00455293">
      <w:pgSz w:w="16838" w:h="11906" w:orient="landscape"/>
      <w:pgMar w:top="1418" w:right="1134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4B"/>
    <w:rsid w:val="00032DAC"/>
    <w:rsid w:val="00033C44"/>
    <w:rsid w:val="00044DE9"/>
    <w:rsid w:val="000508F1"/>
    <w:rsid w:val="00066C2F"/>
    <w:rsid w:val="00072C59"/>
    <w:rsid w:val="000744EF"/>
    <w:rsid w:val="00085999"/>
    <w:rsid w:val="0009142D"/>
    <w:rsid w:val="000B00B7"/>
    <w:rsid w:val="000B5253"/>
    <w:rsid w:val="000B790E"/>
    <w:rsid w:val="000C32C3"/>
    <w:rsid w:val="000D5EEC"/>
    <w:rsid w:val="000E423E"/>
    <w:rsid w:val="000E5FCA"/>
    <w:rsid w:val="001107AE"/>
    <w:rsid w:val="00126AEE"/>
    <w:rsid w:val="0013416B"/>
    <w:rsid w:val="00147DEF"/>
    <w:rsid w:val="001509A1"/>
    <w:rsid w:val="001537E6"/>
    <w:rsid w:val="00177946"/>
    <w:rsid w:val="001B4051"/>
    <w:rsid w:val="001D0CCE"/>
    <w:rsid w:val="001F4C23"/>
    <w:rsid w:val="001F7764"/>
    <w:rsid w:val="001F781D"/>
    <w:rsid w:val="002072B9"/>
    <w:rsid w:val="002114BC"/>
    <w:rsid w:val="00245746"/>
    <w:rsid w:val="002472E4"/>
    <w:rsid w:val="00250D27"/>
    <w:rsid w:val="002553CA"/>
    <w:rsid w:val="00271F6B"/>
    <w:rsid w:val="002729D5"/>
    <w:rsid w:val="002764A4"/>
    <w:rsid w:val="002A4792"/>
    <w:rsid w:val="002C15B6"/>
    <w:rsid w:val="002C294E"/>
    <w:rsid w:val="002C6E4D"/>
    <w:rsid w:val="002D2B0A"/>
    <w:rsid w:val="002D3F46"/>
    <w:rsid w:val="002D5A34"/>
    <w:rsid w:val="002E04A7"/>
    <w:rsid w:val="002F1808"/>
    <w:rsid w:val="002F761C"/>
    <w:rsid w:val="003165FB"/>
    <w:rsid w:val="003218BD"/>
    <w:rsid w:val="003238E4"/>
    <w:rsid w:val="00327B03"/>
    <w:rsid w:val="00342B8B"/>
    <w:rsid w:val="0035612B"/>
    <w:rsid w:val="0036384B"/>
    <w:rsid w:val="00367EE5"/>
    <w:rsid w:val="00373663"/>
    <w:rsid w:val="003744F7"/>
    <w:rsid w:val="00377E4E"/>
    <w:rsid w:val="00387C0A"/>
    <w:rsid w:val="00393215"/>
    <w:rsid w:val="003973C8"/>
    <w:rsid w:val="003A2F51"/>
    <w:rsid w:val="003B0738"/>
    <w:rsid w:val="003B57AB"/>
    <w:rsid w:val="003D1E17"/>
    <w:rsid w:val="003D2443"/>
    <w:rsid w:val="003F3620"/>
    <w:rsid w:val="003F5264"/>
    <w:rsid w:val="00425BB8"/>
    <w:rsid w:val="004419CA"/>
    <w:rsid w:val="00444959"/>
    <w:rsid w:val="0045074C"/>
    <w:rsid w:val="00455293"/>
    <w:rsid w:val="00465B05"/>
    <w:rsid w:val="00476360"/>
    <w:rsid w:val="004A0A3F"/>
    <w:rsid w:val="004A0FDC"/>
    <w:rsid w:val="004A1639"/>
    <w:rsid w:val="004A3948"/>
    <w:rsid w:val="004A78DA"/>
    <w:rsid w:val="004A7B88"/>
    <w:rsid w:val="004B75FE"/>
    <w:rsid w:val="004C654E"/>
    <w:rsid w:val="004E10A7"/>
    <w:rsid w:val="004E5E43"/>
    <w:rsid w:val="004F529E"/>
    <w:rsid w:val="0050365F"/>
    <w:rsid w:val="00507E68"/>
    <w:rsid w:val="00513457"/>
    <w:rsid w:val="005319B3"/>
    <w:rsid w:val="005401E4"/>
    <w:rsid w:val="00547F1D"/>
    <w:rsid w:val="00562D18"/>
    <w:rsid w:val="0057206E"/>
    <w:rsid w:val="00582BD6"/>
    <w:rsid w:val="00591748"/>
    <w:rsid w:val="005A73ED"/>
    <w:rsid w:val="005B34C2"/>
    <w:rsid w:val="005B7DC4"/>
    <w:rsid w:val="005C41C0"/>
    <w:rsid w:val="005C7555"/>
    <w:rsid w:val="005D2CCA"/>
    <w:rsid w:val="005F1584"/>
    <w:rsid w:val="00604C8B"/>
    <w:rsid w:val="006346A4"/>
    <w:rsid w:val="006600E0"/>
    <w:rsid w:val="00662052"/>
    <w:rsid w:val="0066220F"/>
    <w:rsid w:val="00662473"/>
    <w:rsid w:val="00671404"/>
    <w:rsid w:val="006747B3"/>
    <w:rsid w:val="00682CEA"/>
    <w:rsid w:val="00683F48"/>
    <w:rsid w:val="0069568F"/>
    <w:rsid w:val="006A789A"/>
    <w:rsid w:val="006B07AE"/>
    <w:rsid w:val="006D349E"/>
    <w:rsid w:val="006E08AE"/>
    <w:rsid w:val="006E4649"/>
    <w:rsid w:val="006E5232"/>
    <w:rsid w:val="006E73F4"/>
    <w:rsid w:val="006F6B78"/>
    <w:rsid w:val="00702781"/>
    <w:rsid w:val="00722D74"/>
    <w:rsid w:val="00726B7B"/>
    <w:rsid w:val="00726CD8"/>
    <w:rsid w:val="007344CE"/>
    <w:rsid w:val="00737EB9"/>
    <w:rsid w:val="00753DDB"/>
    <w:rsid w:val="00796993"/>
    <w:rsid w:val="007D77B0"/>
    <w:rsid w:val="007E46FE"/>
    <w:rsid w:val="007E4D24"/>
    <w:rsid w:val="00805B07"/>
    <w:rsid w:val="00823548"/>
    <w:rsid w:val="008334C4"/>
    <w:rsid w:val="00862F2D"/>
    <w:rsid w:val="00874FF4"/>
    <w:rsid w:val="00892D26"/>
    <w:rsid w:val="008C6558"/>
    <w:rsid w:val="008C738E"/>
    <w:rsid w:val="008D61E7"/>
    <w:rsid w:val="008D6DAE"/>
    <w:rsid w:val="009062C0"/>
    <w:rsid w:val="0091125A"/>
    <w:rsid w:val="00920744"/>
    <w:rsid w:val="00934452"/>
    <w:rsid w:val="00944D28"/>
    <w:rsid w:val="009579E2"/>
    <w:rsid w:val="0097005D"/>
    <w:rsid w:val="009723CF"/>
    <w:rsid w:val="00974F5F"/>
    <w:rsid w:val="009805EF"/>
    <w:rsid w:val="00986684"/>
    <w:rsid w:val="00987852"/>
    <w:rsid w:val="009878E2"/>
    <w:rsid w:val="009C6998"/>
    <w:rsid w:val="009E28D1"/>
    <w:rsid w:val="009E6507"/>
    <w:rsid w:val="009F3E41"/>
    <w:rsid w:val="009F5483"/>
    <w:rsid w:val="00A05103"/>
    <w:rsid w:val="00A05391"/>
    <w:rsid w:val="00A22101"/>
    <w:rsid w:val="00A230D1"/>
    <w:rsid w:val="00A275F8"/>
    <w:rsid w:val="00A3623D"/>
    <w:rsid w:val="00A37A55"/>
    <w:rsid w:val="00A459C5"/>
    <w:rsid w:val="00A478A7"/>
    <w:rsid w:val="00A71168"/>
    <w:rsid w:val="00A72E96"/>
    <w:rsid w:val="00A76424"/>
    <w:rsid w:val="00A76E72"/>
    <w:rsid w:val="00A85A2B"/>
    <w:rsid w:val="00AA2972"/>
    <w:rsid w:val="00AB0902"/>
    <w:rsid w:val="00AC1A3A"/>
    <w:rsid w:val="00AD024C"/>
    <w:rsid w:val="00AE13A2"/>
    <w:rsid w:val="00AE1403"/>
    <w:rsid w:val="00AE36A3"/>
    <w:rsid w:val="00AE574A"/>
    <w:rsid w:val="00AF546D"/>
    <w:rsid w:val="00AF67E2"/>
    <w:rsid w:val="00B11F2A"/>
    <w:rsid w:val="00B16A68"/>
    <w:rsid w:val="00B229AF"/>
    <w:rsid w:val="00B648F2"/>
    <w:rsid w:val="00B80F36"/>
    <w:rsid w:val="00B82A8D"/>
    <w:rsid w:val="00B90A83"/>
    <w:rsid w:val="00BA0A55"/>
    <w:rsid w:val="00BA21AB"/>
    <w:rsid w:val="00BE721E"/>
    <w:rsid w:val="00C14DEA"/>
    <w:rsid w:val="00C2448B"/>
    <w:rsid w:val="00C302AB"/>
    <w:rsid w:val="00C341A8"/>
    <w:rsid w:val="00C35B09"/>
    <w:rsid w:val="00C4488B"/>
    <w:rsid w:val="00C47857"/>
    <w:rsid w:val="00C61885"/>
    <w:rsid w:val="00C620BB"/>
    <w:rsid w:val="00C65618"/>
    <w:rsid w:val="00C65846"/>
    <w:rsid w:val="00C67F09"/>
    <w:rsid w:val="00C70107"/>
    <w:rsid w:val="00C742DB"/>
    <w:rsid w:val="00C80E69"/>
    <w:rsid w:val="00C8374F"/>
    <w:rsid w:val="00C911E0"/>
    <w:rsid w:val="00C937AB"/>
    <w:rsid w:val="00CA0207"/>
    <w:rsid w:val="00CA665E"/>
    <w:rsid w:val="00CD2A6A"/>
    <w:rsid w:val="00CD51A7"/>
    <w:rsid w:val="00D1681D"/>
    <w:rsid w:val="00D32CB1"/>
    <w:rsid w:val="00D361FD"/>
    <w:rsid w:val="00D41744"/>
    <w:rsid w:val="00D47785"/>
    <w:rsid w:val="00D478EB"/>
    <w:rsid w:val="00DA2584"/>
    <w:rsid w:val="00DA4A49"/>
    <w:rsid w:val="00DA74C6"/>
    <w:rsid w:val="00DB1C33"/>
    <w:rsid w:val="00DE200D"/>
    <w:rsid w:val="00DE7FCE"/>
    <w:rsid w:val="00DF3278"/>
    <w:rsid w:val="00E14235"/>
    <w:rsid w:val="00E16606"/>
    <w:rsid w:val="00E22A8D"/>
    <w:rsid w:val="00E26681"/>
    <w:rsid w:val="00E27A25"/>
    <w:rsid w:val="00E3028A"/>
    <w:rsid w:val="00E47F0C"/>
    <w:rsid w:val="00E56B05"/>
    <w:rsid w:val="00E56EE8"/>
    <w:rsid w:val="00E85DF4"/>
    <w:rsid w:val="00EA71E5"/>
    <w:rsid w:val="00EB090C"/>
    <w:rsid w:val="00EB5138"/>
    <w:rsid w:val="00EB75D0"/>
    <w:rsid w:val="00EC1ECA"/>
    <w:rsid w:val="00EC22E6"/>
    <w:rsid w:val="00EC2B48"/>
    <w:rsid w:val="00EC7F25"/>
    <w:rsid w:val="00ED1AF4"/>
    <w:rsid w:val="00ED5B62"/>
    <w:rsid w:val="00ED7ACD"/>
    <w:rsid w:val="00EF7FEE"/>
    <w:rsid w:val="00F03AE6"/>
    <w:rsid w:val="00F05A87"/>
    <w:rsid w:val="00F07899"/>
    <w:rsid w:val="00F148E6"/>
    <w:rsid w:val="00F25AC5"/>
    <w:rsid w:val="00F272A4"/>
    <w:rsid w:val="00F332E4"/>
    <w:rsid w:val="00F45326"/>
    <w:rsid w:val="00F45C9F"/>
    <w:rsid w:val="00F46D64"/>
    <w:rsid w:val="00F64C68"/>
    <w:rsid w:val="00F83AFE"/>
    <w:rsid w:val="00F90021"/>
    <w:rsid w:val="00F928FC"/>
    <w:rsid w:val="00FA1E81"/>
    <w:rsid w:val="00FA49E2"/>
    <w:rsid w:val="00FA50C4"/>
    <w:rsid w:val="00FD3908"/>
    <w:rsid w:val="00FF2BA5"/>
    <w:rsid w:val="00FF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2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71F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mi-callto">
    <w:name w:val="wmi-callto"/>
    <w:basedOn w:val="a0"/>
    <w:rsid w:val="009579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2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71F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mi-callto">
    <w:name w:val="wmi-callto"/>
    <w:basedOn w:val="a0"/>
    <w:rsid w:val="00957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3324</TotalTime>
  <Pages>12</Pages>
  <Words>3560</Words>
  <Characters>23606</Characters>
  <Application>Microsoft Office Word</Application>
  <DocSecurity>0</DocSecurity>
  <Lines>1124</Lines>
  <Paragraphs>532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231</cp:revision>
  <cp:lastPrinted>2024-03-27T08:53:00Z</cp:lastPrinted>
  <dcterms:created xsi:type="dcterms:W3CDTF">2021-01-23T18:45:00Z</dcterms:created>
  <dcterms:modified xsi:type="dcterms:W3CDTF">2025-01-31T12:06:00Z</dcterms:modified>
</cp:coreProperties>
</file>