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1005"/>
        <w:gridCol w:w="873"/>
        <w:gridCol w:w="895"/>
        <w:gridCol w:w="817"/>
        <w:gridCol w:w="805"/>
        <w:gridCol w:w="53"/>
        <w:gridCol w:w="88"/>
        <w:gridCol w:w="670"/>
        <w:gridCol w:w="464"/>
        <w:gridCol w:w="115"/>
        <w:gridCol w:w="302"/>
        <w:gridCol w:w="284"/>
        <w:gridCol w:w="292"/>
        <w:gridCol w:w="141"/>
        <w:gridCol w:w="265"/>
        <w:gridCol w:w="236"/>
        <w:gridCol w:w="236"/>
        <w:gridCol w:w="539"/>
        <w:gridCol w:w="142"/>
        <w:gridCol w:w="1276"/>
        <w:gridCol w:w="141"/>
        <w:gridCol w:w="141"/>
        <w:gridCol w:w="813"/>
      </w:tblGrid>
      <w:tr w:rsidR="003B0738" w:rsidRPr="00662052" w:rsidTr="004013D4">
        <w:trPr>
          <w:gridBefore w:val="1"/>
          <w:gridAfter w:val="1"/>
          <w:wBefore w:w="15" w:type="dxa"/>
          <w:wAfter w:w="813" w:type="dxa"/>
          <w:trHeight w:val="240"/>
        </w:trPr>
        <w:tc>
          <w:tcPr>
            <w:tcW w:w="822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ПОЯСНИТЕЛЬНАЯ ЗАПИСКА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2"/>
          <w:wBefore w:w="15" w:type="dxa"/>
          <w:wAfter w:w="954" w:type="dxa"/>
          <w:trHeight w:val="240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662052" w:rsidRPr="00662052" w:rsidTr="004013D4">
        <w:trPr>
          <w:gridBefore w:val="1"/>
          <w:gridAfter w:val="2"/>
          <w:wBefore w:w="15" w:type="dxa"/>
          <w:wAfter w:w="954" w:type="dxa"/>
          <w:trHeight w:val="22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662052" w:rsidRPr="00662052" w:rsidTr="004013D4">
        <w:trPr>
          <w:gridBefore w:val="1"/>
          <w:gridAfter w:val="2"/>
          <w:wBefore w:w="15" w:type="dxa"/>
          <w:wAfter w:w="954" w:type="dxa"/>
          <w:trHeight w:val="22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C951E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на «01» января 202</w:t>
            </w:r>
            <w:r w:rsidR="00C951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C9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</w:t>
            </w:r>
            <w:r w:rsidR="00C9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B0738" w:rsidRPr="00662052" w:rsidTr="004013D4">
        <w:trPr>
          <w:gridBefore w:val="1"/>
          <w:gridAfter w:val="2"/>
          <w:wBefore w:w="15" w:type="dxa"/>
          <w:wAfter w:w="954" w:type="dxa"/>
          <w:trHeight w:val="380"/>
        </w:trPr>
        <w:tc>
          <w:tcPr>
            <w:tcW w:w="27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532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Представительное Собрание Шекснинского муниципального района</w:t>
            </w:r>
          </w:p>
        </w:tc>
        <w:tc>
          <w:tcPr>
            <w:tcW w:w="91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02431262</w:t>
            </w:r>
          </w:p>
        </w:tc>
      </w:tr>
      <w:tr w:rsidR="003B0738" w:rsidRPr="00662052" w:rsidTr="004013D4">
        <w:trPr>
          <w:gridBefore w:val="1"/>
          <w:gridAfter w:val="2"/>
          <w:wBefore w:w="15" w:type="dxa"/>
          <w:wAfter w:w="954" w:type="dxa"/>
          <w:trHeight w:val="380"/>
        </w:trPr>
        <w:tc>
          <w:tcPr>
            <w:tcW w:w="27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38" w:rsidRPr="00662052" w:rsidTr="004013D4">
        <w:trPr>
          <w:gridBefore w:val="1"/>
          <w:gridAfter w:val="2"/>
          <w:wBefore w:w="15" w:type="dxa"/>
          <w:wAfter w:w="954" w:type="dxa"/>
          <w:trHeight w:val="380"/>
        </w:trPr>
        <w:tc>
          <w:tcPr>
            <w:tcW w:w="27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0738" w:rsidRPr="00662052" w:rsidTr="004013D4">
        <w:trPr>
          <w:gridBefore w:val="1"/>
          <w:gridAfter w:val="2"/>
          <w:wBefore w:w="15" w:type="dxa"/>
          <w:wAfter w:w="954" w:type="dxa"/>
          <w:trHeight w:val="380"/>
        </w:trPr>
        <w:tc>
          <w:tcPr>
            <w:tcW w:w="27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38" w:rsidRPr="00662052" w:rsidTr="004013D4">
        <w:trPr>
          <w:gridBefore w:val="1"/>
          <w:gridAfter w:val="2"/>
          <w:wBefore w:w="15" w:type="dxa"/>
          <w:wAfter w:w="954" w:type="dxa"/>
          <w:trHeight w:val="253"/>
        </w:trPr>
        <w:tc>
          <w:tcPr>
            <w:tcW w:w="27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532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91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2B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19658151051</w:t>
            </w:r>
          </w:p>
        </w:tc>
      </w:tr>
      <w:tr w:rsidR="003B0738" w:rsidRPr="00662052" w:rsidTr="004013D4">
        <w:trPr>
          <w:gridBefore w:val="1"/>
          <w:gridAfter w:val="2"/>
          <w:wBefore w:w="15" w:type="dxa"/>
          <w:wAfter w:w="954" w:type="dxa"/>
          <w:trHeight w:val="253"/>
        </w:trPr>
        <w:tc>
          <w:tcPr>
            <w:tcW w:w="27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2"/>
          <w:wBefore w:w="15" w:type="dxa"/>
          <w:wAfter w:w="954" w:type="dxa"/>
          <w:trHeight w:val="22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Периодичность: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месячная, квартальная, годовая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2052" w:rsidRPr="00662052" w:rsidTr="004013D4">
        <w:trPr>
          <w:gridBefore w:val="1"/>
          <w:gridAfter w:val="2"/>
          <w:wBefore w:w="15" w:type="dxa"/>
          <w:wAfter w:w="954" w:type="dxa"/>
          <w:trHeight w:val="223"/>
        </w:trPr>
        <w:tc>
          <w:tcPr>
            <w:tcW w:w="2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3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152C51" w:rsidP="00152C5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Раздел 1 «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Организационная структура субъекта бюджетной отчетности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74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AC05B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Пре</w:t>
            </w:r>
            <w:r w:rsidR="00C71E2F" w:rsidRPr="00C1587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ставительное Собрание Шекснинского муниципального района является органом местного самоуправления. Представительное Собрание осуществляет нормотворческие, бюджетные и контрольные функции в порядке и пределах, установленных законодательством Российской Федерации, Вологодской области и Уставом Шекснинского муниципального района. Полномочия по ведению бухгалтерского учета Представительного Собрания  Шекснинского муниципального района переданы Казенному учреждению Шекс</w:t>
            </w:r>
            <w:r w:rsidR="00DC35B9" w:rsidRPr="00C15878">
              <w:rPr>
                <w:rFonts w:ascii="Times New Roman" w:eastAsia="Times New Roman" w:hAnsi="Times New Roman" w:cs="Times New Roman"/>
                <w:lang w:eastAsia="ru-RU"/>
              </w:rPr>
              <w:t>нинского муниципального района 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Централизованная бухгалтерия по обслуживанию муниципальных учреждений</w:t>
            </w:r>
            <w:r w:rsidR="00DC35B9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основании 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соглашения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 xml:space="preserve"> о бухгалтерском обслуживании № 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Ответственный за составление бухгалтерской отчетности является главный бухгалтер КУ ШМР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ЦБУ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Кунина</w:t>
            </w:r>
            <w:proofErr w:type="spell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Ирина Михайловна.        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3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50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2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Результаты деятельности субъекта бюджетной деятельности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35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70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402" w:rsidRDefault="009972A0" w:rsidP="006C240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proofErr w:type="gramStart"/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По м</w:t>
            </w:r>
            <w:r w:rsidR="009A7640" w:rsidRPr="00862F2D">
              <w:rPr>
                <w:rFonts w:ascii="Times New Roman" w:eastAsia="Times New Roman" w:hAnsi="Times New Roman" w:cs="Times New Roman"/>
                <w:lang w:eastAsia="ru-RU"/>
              </w:rPr>
              <w:t>униципальн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ой</w:t>
            </w:r>
            <w:r w:rsidR="009A7640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9A7640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9A7640" w:rsidRPr="000C50A3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муниципального управления в Шекснинском муницип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альном районе на 2021-2025 годы», подпрограмма «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реа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 xml:space="preserve">лизации муниципальной программы» расходы составили </w:t>
            </w:r>
            <w:r w:rsid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6305985</w:t>
            </w:r>
            <w:r w:rsidR="009A7640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</w:t>
            </w:r>
            <w:r w:rsidR="009A7640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коп.,</w:t>
            </w:r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>подпрограмма «</w:t>
            </w:r>
            <w:r w:rsidR="006C2402" w:rsidRPr="006C240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развитие кадрового потенциала в 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>Шекснинско</w:t>
            </w:r>
            <w:r w:rsidR="0087046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районе» </w:t>
            </w:r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составили </w:t>
            </w:r>
            <w:r w:rsid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25876 руб.00 коп., п</w:t>
            </w:r>
            <w:r w:rsidR="00870468" w:rsidRP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</w:t>
            </w:r>
            <w:proofErr w:type="gramEnd"/>
            <w:r w:rsidR="00870468" w:rsidRP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власти) субъектов Российской Федерации и деятельности органов исполнительной власти субъектов Российской Федерации за счет средств межбюджетных трансфертов, предоставляемых из федерального бюджета за достижение </w:t>
            </w:r>
            <w:proofErr w:type="gramStart"/>
            <w:r w:rsidR="00870468" w:rsidRP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исполнено на сумму 59514 руб.80 коп.</w:t>
            </w:r>
          </w:p>
          <w:p w:rsidR="00E33E6C" w:rsidRDefault="00183833" w:rsidP="0087046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В 202</w:t>
            </w:r>
            <w:r w:rsidR="0087046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0949B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году Г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лава Шекснинского муниципального района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принял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участите в «</w:t>
            </w:r>
            <w:r w:rsidR="00870468">
              <w:rPr>
                <w:rFonts w:ascii="Times New Roman" w:eastAsia="Times New Roman" w:hAnsi="Times New Roman" w:cs="Times New Roman"/>
                <w:lang w:eastAsia="ru-RU"/>
              </w:rPr>
              <w:t>3-м янтарном ф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оруме </w:t>
            </w:r>
            <w:r w:rsidR="008704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сотрудничества» в 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870468">
              <w:rPr>
                <w:rFonts w:ascii="Times New Roman" w:eastAsia="Times New Roman" w:hAnsi="Times New Roman" w:cs="Times New Roman"/>
                <w:lang w:eastAsia="ru-RU"/>
              </w:rPr>
              <w:t>Калининград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870468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0949B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>00 коп.</w:t>
            </w:r>
          </w:p>
          <w:p w:rsidR="00870468" w:rsidRPr="00C15878" w:rsidRDefault="00870468" w:rsidP="0087046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Пройдено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программе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повышения квалификации «Мобилизационная подготовка в органах государственной власти и органах местного самоуправления» - 1 чел.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80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3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3 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Анализ отчета об исполнении бюджета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8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4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428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0C" w:rsidRPr="00C15878" w:rsidRDefault="00662052" w:rsidP="000E16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В течение 202</w:t>
            </w:r>
            <w:r w:rsidR="0087046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по решению Представительного Собрания Шекснинского муниципального района </w:t>
            </w:r>
          </w:p>
          <w:p w:rsidR="00662052" w:rsidRPr="00C15878" w:rsidRDefault="00662052" w:rsidP="00773A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 бюджетную роспись ПС вносились изменения  на сумму </w:t>
            </w:r>
            <w:r w:rsidR="00DB39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5390</w:t>
            </w:r>
            <w:r w:rsidR="000E1636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773A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="00D91CAD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коп</w:t>
            </w:r>
            <w:proofErr w:type="gramStart"/>
            <w:r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ервоначальный бюджет    </w:t>
            </w:r>
            <w:r w:rsid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6720000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руб. 00 коп.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345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FF43C4" w:rsidRDefault="000E1636" w:rsidP="00773A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3C4">
              <w:rPr>
                <w:rFonts w:ascii="Times New Roman" w:eastAsia="Times New Roman" w:hAnsi="Times New Roman" w:cs="Times New Roman"/>
                <w:lang w:eastAsia="ru-RU"/>
              </w:rPr>
              <w:t xml:space="preserve">уточненный бюджет           </w:t>
            </w:r>
            <w:r w:rsidR="0087046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6725390</w:t>
            </w:r>
            <w:r w:rsidR="00662052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62052" w:rsidRPr="00FF43C4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773AA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D91CAD" w:rsidRPr="00FF43C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62052" w:rsidRPr="00FF43C4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85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0C" w:rsidRPr="00C15878" w:rsidRDefault="0078390C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Default="00662052" w:rsidP="001E43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0503164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 об исполнении бюджета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B39AD" w:rsidRPr="00DB39AD" w:rsidRDefault="00DB39AD" w:rsidP="00DB39A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DB39AD">
              <w:rPr>
                <w:rFonts w:ascii="Times New Roman" w:eastAsia="Times New Roman" w:hAnsi="Times New Roman" w:cs="Times New Roman"/>
                <w:lang w:eastAsia="ru-RU"/>
              </w:rPr>
              <w:t>Доходы бюджета по Представительному Собранию  составили  30904 руб. 55 коп</w:t>
            </w:r>
            <w:proofErr w:type="gramStart"/>
            <w:r w:rsidRPr="00DB39AD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DB39AD">
              <w:rPr>
                <w:rFonts w:ascii="Times New Roman" w:eastAsia="Times New Roman" w:hAnsi="Times New Roman" w:cs="Times New Roman"/>
                <w:lang w:eastAsia="ru-RU"/>
              </w:rPr>
              <w:t xml:space="preserve">что составляет 99,69 % от утвержденных бюджетных назначений.  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53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0C" w:rsidRPr="00C15878" w:rsidRDefault="00662052" w:rsidP="000E16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бюджета по Представительному Собранию составили </w:t>
            </w:r>
            <w:r w:rsidR="0018383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39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6391376 руб</w:t>
            </w:r>
            <w:r w:rsidR="000E1636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r w:rsidR="00DB39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B39A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DB39AD">
              <w:rPr>
                <w:rFonts w:ascii="Times New Roman" w:eastAsia="Times New Roman" w:hAnsi="Times New Roman" w:cs="Times New Roman"/>
                <w:lang w:eastAsia="ru-RU"/>
              </w:rPr>
              <w:t>что</w:t>
            </w:r>
            <w:r w:rsidR="00AE14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составляет</w:t>
            </w:r>
          </w:p>
          <w:p w:rsidR="00662052" w:rsidRPr="00C15878" w:rsidRDefault="00DB39AD" w:rsidP="00D91CA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95,03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% от утвержденных бюджетных назначений.</w:t>
            </w:r>
          </w:p>
        </w:tc>
      </w:tr>
      <w:tr w:rsidR="003709C1" w:rsidRPr="00662052" w:rsidTr="00632B6B">
        <w:trPr>
          <w:gridBefore w:val="1"/>
          <w:gridAfter w:val="1"/>
          <w:wBefore w:w="15" w:type="dxa"/>
          <w:wAfter w:w="813" w:type="dxa"/>
          <w:trHeight w:val="225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9C1" w:rsidRDefault="003709C1" w:rsidP="003709C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709C1">
              <w:rPr>
                <w:rFonts w:ascii="Times New Roman" w:eastAsia="Times New Roman" w:hAnsi="Times New Roman" w:cs="Times New Roman"/>
                <w:b/>
                <w:lang w:eastAsia="ru-RU"/>
              </w:rPr>
              <w:t>Таблица № 13 «Анализ отчета об исполнении бюджета субъектом бюджетной отчетности».</w:t>
            </w:r>
          </w:p>
          <w:p w:rsidR="003709C1" w:rsidRPr="003709C1" w:rsidRDefault="003709C1" w:rsidP="003709C1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C1">
              <w:rPr>
                <w:rFonts w:ascii="Times New Roman" w:eastAsia="Times New Roman" w:hAnsi="Times New Roman" w:cs="Times New Roman"/>
                <w:lang w:eastAsia="ru-RU"/>
              </w:rPr>
              <w:t>Неисполненные назначения 95 руб. 45</w:t>
            </w:r>
            <w:r w:rsidR="001B5D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709C1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3709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709C1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Pr="003709C1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3709C1">
              <w:rPr>
                <w:rFonts w:ascii="Times New Roman" w:eastAsia="Times New Roman" w:hAnsi="Times New Roman" w:cs="Times New Roman"/>
                <w:lang w:eastAsia="ru-RU"/>
              </w:rPr>
              <w:t>тверждено больше бюджетных назначений на возврат налогов прошлых лет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bookmarkStart w:id="0" w:name="_GoBack"/>
            <w:bookmarkEnd w:id="0"/>
          </w:p>
          <w:p w:rsidR="003709C1" w:rsidRPr="00C15878" w:rsidRDefault="003709C1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4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Анализ показателей  бухгалтерской отчетности субъекта бюджетной отчетности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40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825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0503168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 о движении нефинансовых активов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8434C1" w:rsidRPr="00C15878" w:rsidRDefault="00BC5B29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Увеличение (поступление)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средств на сумму 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73881 </w:t>
            </w:r>
            <w:r w:rsidR="00736E03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руб. 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736E03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662052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</w:t>
            </w:r>
            <w:proofErr w:type="gramStart"/>
            <w:r w:rsidR="00662052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.,</w:t>
            </w:r>
            <w:r w:rsidR="00E20B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End"/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ведено в эксплуатацию ОС до 10 тыс.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руб.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–</w:t>
            </w:r>
            <w:r w:rsid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40431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Начислена амортизация на сумму 33450 руб. 00 коп.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Отражены приобретение</w:t>
            </w:r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материальных запасов на сумму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463901</w:t>
            </w:r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75FEC" w:rsidRPr="00C158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выбытие материальных запасов </w:t>
            </w:r>
            <w:r w:rsidR="00584F91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на нужды учреждения в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сумм</w:t>
            </w:r>
            <w:r w:rsidR="00584F91" w:rsidRPr="00C1587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468905</w:t>
            </w:r>
            <w:r w:rsidR="00736E03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62052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руб. </w:t>
            </w:r>
            <w:r w:rsidR="00F25D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52374A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662052" w:rsidRPr="00C1587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="008434C1" w:rsidRPr="00C15878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</w:p>
          <w:p w:rsidR="00584F91" w:rsidRPr="00C15878" w:rsidRDefault="008434C1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Забалансовые</w:t>
            </w:r>
            <w:proofErr w:type="spell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счета: по счету 02 «М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атериальны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и, принятые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на хранени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е»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находятся на хранении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чашки на сумму </w:t>
            </w:r>
            <w:r w:rsidR="00662052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4 255 руб. 00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r w:rsidR="0052374A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84F91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84F91" w:rsidRPr="00C15878" w:rsidRDefault="00584F91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07 «Награды, призы, кубки и ценные подарки, сувениры» приобретено на сумму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202163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выбыло на сумму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312044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коп., остаток на конец 202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 xml:space="preserve">110563 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F25D1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662052" w:rsidRPr="00C15878" w:rsidRDefault="00584F91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21 «Основные средства стоимостью до 10000 руб. включительно в эксплуатации» поступило на сумму </w:t>
            </w:r>
            <w:r w:rsidR="002D442C">
              <w:rPr>
                <w:rFonts w:ascii="Times New Roman" w:eastAsia="Times New Roman" w:hAnsi="Times New Roman" w:cs="Times New Roman"/>
                <w:lang w:eastAsia="ru-RU"/>
              </w:rPr>
              <w:t>40431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2D442C"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0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остаток на конец 202</w:t>
            </w:r>
            <w:r w:rsidR="002D442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2D442C">
              <w:rPr>
                <w:rFonts w:ascii="Times New Roman" w:eastAsia="Times New Roman" w:hAnsi="Times New Roman" w:cs="Times New Roman"/>
                <w:lang w:eastAsia="ru-RU"/>
              </w:rPr>
              <w:t>177001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3 коп.</w:t>
            </w:r>
          </w:p>
          <w:p w:rsidR="00DC35B9" w:rsidRPr="00C15878" w:rsidRDefault="00DC35B9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345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Форме 0503169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 о дебиторской и кредиторской задолженности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75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AB0B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Представительное Собрание  имеет дебиторскую задолженность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 xml:space="preserve">на 01.01.2024 года по 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>счет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206.26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AB0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1137 </w:t>
            </w:r>
            <w:r w:rsidR="000E1636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руб. </w:t>
            </w:r>
            <w:r w:rsidR="00AB0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0E16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коп. 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0E16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АО «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>Почта Рос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сии»</w:t>
            </w:r>
            <w:r w:rsidR="000E16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подписка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на периодические издания на первое полугодие 202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4г., по счету 206.31 в сумме 13575 руб. 00 коп</w:t>
            </w:r>
            <w:proofErr w:type="gramStart"/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AB0BF5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AB0BF5" w:rsidRPr="00AB0BF5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основного ср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 xml:space="preserve">едства (одноуровневая карта Шекснинского </w:t>
            </w:r>
            <w:r w:rsidR="00AB0BF5" w:rsidRPr="00AB0BF5">
              <w:rPr>
                <w:rFonts w:ascii="Times New Roman" w:eastAsia="Times New Roman" w:hAnsi="Times New Roman" w:cs="Times New Roman"/>
                <w:lang w:eastAsia="ru-RU"/>
              </w:rPr>
              <w:t>района)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, по счету 303.14 в сумме 148391 руб. 13 коп. – расчеты по единому налоговому платежу.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072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D25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Кредиторская задолженность на конец 202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AB0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152264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AB0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    </w:t>
            </w:r>
          </w:p>
          <w:p w:rsidR="000E4D25" w:rsidRPr="00C15878" w:rsidRDefault="000E4D25" w:rsidP="000E4D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- 1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 - 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 xml:space="preserve">Т2 </w:t>
            </w:r>
            <w:proofErr w:type="spellStart"/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Мобайл</w:t>
            </w:r>
            <w:proofErr w:type="spell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" услуги связи за декабрь 202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года;</w:t>
            </w:r>
          </w:p>
          <w:p w:rsidR="000E4D25" w:rsidRPr="00C15878" w:rsidRDefault="000E4D25" w:rsidP="000E4D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53370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аработная плата за декабрь 202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года;</w:t>
            </w:r>
          </w:p>
          <w:p w:rsidR="00AB0BF5" w:rsidRDefault="005A0C44" w:rsidP="00AB0BF5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97494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="00AB0BF5" w:rsidRPr="00AB0BF5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="00AB0BF5" w:rsidRPr="00AB0BF5">
              <w:rPr>
                <w:rFonts w:ascii="Times New Roman" w:hAnsi="Times New Roman" w:cs="Times New Roman"/>
                <w:color w:val="000000"/>
              </w:rPr>
              <w:t>асчеты по единому страховому тарифу за декабрь 2023 года.</w:t>
            </w:r>
          </w:p>
          <w:p w:rsidR="00662052" w:rsidRPr="00C15878" w:rsidRDefault="00662052" w:rsidP="00AB0B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Оплата  кредиторской задолженности  предусмотрена за счет ассигнований и ЛБО 202</w:t>
            </w:r>
            <w:r w:rsidR="00AB0BF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85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903" w:rsidRPr="00271F6B" w:rsidRDefault="000F3903" w:rsidP="000F3903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всем направлениям ведется работа по уменьшению кредиторской задолженности, проводится   инвентаризация расчетов и обязательств, анализируется потребность в покупаемых услугах. </w:t>
            </w:r>
          </w:p>
          <w:p w:rsidR="00AB0BF5" w:rsidRDefault="00662052" w:rsidP="00AB0B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Просроченной кредиторской  задолженности нет.</w:t>
            </w:r>
            <w:r w:rsidR="00AB0BF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B0BF5" w:rsidRDefault="00AB0BF5" w:rsidP="00AB0B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Счет 401.60 «Резервы предстоящих расходов» по Представительному Собранию за неиспользованный отпуск составляют в сумме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256635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., 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выплатам сотрудникам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197108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коп., страховые взносы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59526 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73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</w:p>
          <w:p w:rsidR="00864C51" w:rsidRPr="00864C51" w:rsidRDefault="00864C51" w:rsidP="00AB0B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4A">
              <w:rPr>
                <w:rFonts w:ascii="Times New Roman" w:eastAsia="Times New Roman" w:hAnsi="Times New Roman" w:cs="Times New Roman"/>
                <w:lang w:eastAsia="ru-RU"/>
              </w:rPr>
              <w:t xml:space="preserve">«Сведения об изменении остатков валюты баланса» форма 0503173 – </w:t>
            </w:r>
            <w:r w:rsidRPr="00864C5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5114A">
              <w:rPr>
                <w:rFonts w:ascii="Times New Roman" w:eastAsia="Calibri" w:hAnsi="Times New Roman" w:cs="Times New Roman"/>
              </w:rPr>
              <w:t xml:space="preserve">зменены остатки на начало года по </w:t>
            </w:r>
            <w:r w:rsidRPr="00864C51">
              <w:rPr>
                <w:rFonts w:ascii="Times New Roman" w:eastAsia="Calibri" w:hAnsi="Times New Roman" w:cs="Times New Roman"/>
              </w:rPr>
              <w:t xml:space="preserve">дебиторской задолженности в сумме </w:t>
            </w:r>
            <w:r w:rsidR="008C248A">
              <w:rPr>
                <w:rFonts w:ascii="Times New Roman" w:eastAsia="Calibri" w:hAnsi="Times New Roman" w:cs="Times New Roman"/>
              </w:rPr>
              <w:t>31518</w:t>
            </w:r>
            <w:r w:rsidRPr="00864C51">
              <w:rPr>
                <w:rFonts w:ascii="Times New Roman" w:eastAsia="Calibri" w:hAnsi="Times New Roman" w:cs="Times New Roman"/>
              </w:rPr>
              <w:t xml:space="preserve"> руб. </w:t>
            </w:r>
            <w:r w:rsidR="008C248A">
              <w:rPr>
                <w:rFonts w:ascii="Times New Roman" w:eastAsia="Calibri" w:hAnsi="Times New Roman" w:cs="Times New Roman"/>
              </w:rPr>
              <w:t>95</w:t>
            </w:r>
            <w:r w:rsidRPr="00864C51">
              <w:rPr>
                <w:rFonts w:ascii="Times New Roman" w:eastAsia="Calibri" w:hAnsi="Times New Roman" w:cs="Times New Roman"/>
              </w:rPr>
              <w:t xml:space="preserve"> коп</w:t>
            </w:r>
            <w:proofErr w:type="gramStart"/>
            <w:r w:rsidRPr="00864C51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64C51">
              <w:rPr>
                <w:rFonts w:ascii="Times New Roman" w:eastAsia="Calibri" w:hAnsi="Times New Roman" w:cs="Times New Roman"/>
              </w:rPr>
              <w:t xml:space="preserve"> - </w:t>
            </w:r>
            <w:proofErr w:type="gramStart"/>
            <w:r w:rsidRPr="0055114A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55114A">
              <w:rPr>
                <w:rFonts w:ascii="Times New Roman" w:eastAsia="Calibri" w:hAnsi="Times New Roman" w:cs="Times New Roman"/>
              </w:rPr>
              <w:t>справление ошибок прошлых лет по счету 303.00 (несвоевременное отражение фактов хозяйственной жизни в регистрах бухгалтерского учета</w:t>
            </w:r>
            <w:r w:rsidR="008C248A">
              <w:rPr>
                <w:rFonts w:ascii="Times New Roman" w:eastAsia="Calibri" w:hAnsi="Times New Roman" w:cs="Times New Roman"/>
              </w:rPr>
              <w:t>).</w:t>
            </w:r>
          </w:p>
          <w:p w:rsidR="004013D4" w:rsidRPr="00C15878" w:rsidRDefault="004013D4" w:rsidP="0040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Принятые бюджетные обязательства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исполнены на сумму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259485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риняты бюджетные обязательства по зарплате.</w:t>
            </w:r>
          </w:p>
          <w:p w:rsidR="004013D4" w:rsidRPr="00C15878" w:rsidRDefault="004013D4" w:rsidP="0040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4385704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292183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ереходящий остаток с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4093521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коп.- 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приняты бюджетные обязательства по зарплате на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год.</w:t>
            </w:r>
          </w:p>
          <w:p w:rsidR="004013D4" w:rsidRPr="00C15878" w:rsidRDefault="004013D4" w:rsidP="00401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58 коп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редиторская задолженность на 01.01.202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г.)</w:t>
            </w:r>
          </w:p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3D4" w:rsidRPr="00662052" w:rsidTr="008C248A">
        <w:trPr>
          <w:gridBefore w:val="1"/>
          <w:gridAfter w:val="1"/>
          <w:wBefore w:w="15" w:type="dxa"/>
          <w:wAfter w:w="813" w:type="dxa"/>
          <w:trHeight w:val="427"/>
        </w:trPr>
        <w:tc>
          <w:tcPr>
            <w:tcW w:w="9780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013D4" w:rsidRPr="00324F60" w:rsidRDefault="004013D4" w:rsidP="0053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lastRenderedPageBreak/>
              <w:t>Сведения о показателях бухгалтерской (фина</w:t>
            </w:r>
            <w:r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p w:rsidR="004013D4" w:rsidRPr="00C15878" w:rsidRDefault="004013D4" w:rsidP="00A862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3D4" w:rsidRPr="00662052" w:rsidTr="004013D4">
        <w:trPr>
          <w:gridBefore w:val="1"/>
          <w:gridAfter w:val="1"/>
          <w:wBefore w:w="15" w:type="dxa"/>
          <w:wAfter w:w="813" w:type="dxa"/>
          <w:trHeight w:val="203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13D4" w:rsidRDefault="004013D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Pr="00C15878" w:rsidRDefault="004013D4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3D4" w:rsidTr="008C248A">
        <w:trPr>
          <w:gridAfter w:val="3"/>
          <w:wAfter w:w="1095" w:type="dxa"/>
          <w:trHeight w:val="60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Default="004013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Default="004013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Default="004013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Default="004013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3D4" w:rsidRDefault="004013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13D4" w:rsidRDefault="004013D4">
            <w:pPr>
              <w:rPr>
                <w:color w:val="000000"/>
              </w:rPr>
            </w:pPr>
          </w:p>
        </w:tc>
      </w:tr>
      <w:tr w:rsidR="004013D4" w:rsidTr="00560B15">
        <w:trPr>
          <w:gridAfter w:val="3"/>
          <w:wAfter w:w="1095" w:type="dxa"/>
          <w:trHeight w:val="290"/>
        </w:trPr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 КОСГУ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01.01.2023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01.01.2024 г.</w:t>
            </w:r>
          </w:p>
        </w:tc>
      </w:tr>
      <w:tr w:rsidR="004013D4" w:rsidTr="00560B15">
        <w:trPr>
          <w:gridAfter w:val="3"/>
          <w:wAfter w:w="1095" w:type="dxa"/>
          <w:trHeight w:val="290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4013D4" w:rsidTr="00560B15">
        <w:trPr>
          <w:gridAfter w:val="3"/>
          <w:wAfter w:w="1095" w:type="dxa"/>
          <w:trHeight w:val="690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общая величина признанных расходов за период, а также показатели по следующим расходам: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6 236 314,83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6 348 061,81</w:t>
            </w:r>
          </w:p>
        </w:tc>
      </w:tr>
      <w:tr w:rsidR="004013D4" w:rsidTr="00560B15">
        <w:trPr>
          <w:gridAfter w:val="3"/>
          <w:wAfter w:w="1095" w:type="dxa"/>
          <w:trHeight w:val="465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оплате труда, начислениям на выплаты по оплате труда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5 380 714,59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5 298 433,51</w:t>
            </w:r>
          </w:p>
        </w:tc>
      </w:tr>
      <w:tr w:rsidR="004013D4" w:rsidTr="00560B15">
        <w:trPr>
          <w:gridAfter w:val="3"/>
          <w:wAfter w:w="1095" w:type="dxa"/>
          <w:trHeight w:val="290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оплате работ, услуг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253 740,08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430 590,84</w:t>
            </w:r>
          </w:p>
        </w:tc>
      </w:tr>
      <w:tr w:rsidR="004013D4" w:rsidTr="00560B15">
        <w:trPr>
          <w:gridAfter w:val="3"/>
          <w:wAfter w:w="1095" w:type="dxa"/>
          <w:trHeight w:val="290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социальному обеспечению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84 603,01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38 052,16</w:t>
            </w:r>
          </w:p>
        </w:tc>
      </w:tr>
      <w:tr w:rsidR="004013D4" w:rsidTr="00560B15">
        <w:trPr>
          <w:gridAfter w:val="3"/>
          <w:wAfter w:w="1095" w:type="dxa"/>
          <w:trHeight w:val="290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операциям с активами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426 607,15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481 270,30</w:t>
            </w:r>
          </w:p>
        </w:tc>
      </w:tr>
      <w:tr w:rsidR="004013D4" w:rsidTr="00560B15">
        <w:trPr>
          <w:gridAfter w:val="3"/>
          <w:wAfter w:w="1095" w:type="dxa"/>
          <w:trHeight w:val="465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налогам, пошлинам, сборам и иным обязательным платежам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90 650,00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99 715,00</w:t>
            </w:r>
          </w:p>
        </w:tc>
      </w:tr>
      <w:tr w:rsidR="004013D4" w:rsidTr="00560B15">
        <w:trPr>
          <w:gridAfter w:val="3"/>
          <w:wAfter w:w="1095" w:type="dxa"/>
          <w:trHeight w:val="915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42 883,52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200 092,72</w:t>
            </w:r>
          </w:p>
        </w:tc>
      </w:tr>
      <w:tr w:rsidR="004013D4" w:rsidTr="00560B15">
        <w:trPr>
          <w:gridAfter w:val="3"/>
          <w:wAfter w:w="1095" w:type="dxa"/>
          <w:trHeight w:val="690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общая величина обязательств на конец периода, а также показатели по следующим обязательствам: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295 619,61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408 899,81</w:t>
            </w:r>
          </w:p>
        </w:tc>
      </w:tr>
      <w:tr w:rsidR="004013D4" w:rsidTr="00560B15">
        <w:trPr>
          <w:gridAfter w:val="3"/>
          <w:wAfter w:w="1095" w:type="dxa"/>
          <w:trHeight w:val="465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прочим расчетам с кредиторами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410, 430, 470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142 425,14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54 770,40</w:t>
            </w:r>
          </w:p>
        </w:tc>
      </w:tr>
      <w:tr w:rsidR="004013D4" w:rsidTr="00560B15">
        <w:trPr>
          <w:gridAfter w:val="3"/>
          <w:wAfter w:w="1095" w:type="dxa"/>
          <w:trHeight w:val="290"/>
        </w:trPr>
        <w:tc>
          <w:tcPr>
            <w:tcW w:w="1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расчетам по платежам в бюджеты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16 666,00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D4" w:rsidRPr="004013D4" w:rsidRDefault="004013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013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97 494,31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41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5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Прочие вопросы деятельности субъекта бюджетной деятельности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40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171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DC35B9" w:rsidP="003709C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Таблица № 1</w:t>
            </w:r>
            <w:r w:rsidRPr="00C15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bCs/>
                <w:lang w:eastAsia="ru-RU"/>
              </w:rPr>
              <w:t>«Сведения об основных направлениях деятельности»,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5D03" w:rsidRPr="00C15878">
              <w:rPr>
                <w:rFonts w:ascii="Times New Roman" w:eastAsia="Times New Roman" w:hAnsi="Times New Roman" w:cs="Times New Roman"/>
                <w:lang w:eastAsia="ru-RU"/>
              </w:rPr>
              <w:t>Таблица № 3 «Сведения об исполнении текстовых статей закона (решения) о бюджете», таблица № 4 «Сведения об особенностях ведения бюджетного учета»</w:t>
            </w:r>
            <w:r w:rsidR="008D15C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D1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D15C7" w:rsidRPr="008D15C7">
              <w:rPr>
                <w:rFonts w:ascii="Times New Roman" w:eastAsia="Times New Roman" w:hAnsi="Times New Roman"/>
                <w:lang w:eastAsia="ru-RU"/>
              </w:rPr>
              <w:t>таблица № 14 «Анализ показателей отчетности субъекта бюджетной отчетности», таблица № 15 «Причины увеличения просроченной задолженности»</w:t>
            </w:r>
            <w:r w:rsidR="008D15C7"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05D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не заполнялась, т.к. отсутствуют показатели.</w:t>
            </w:r>
            <w:r w:rsidR="002336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15C7" w:rsidRDefault="001E4336" w:rsidP="008D15C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Сведен</w:t>
            </w:r>
            <w:r w:rsidR="0078390C" w:rsidRPr="00C15878">
              <w:rPr>
                <w:rFonts w:ascii="Times New Roman" w:eastAsia="Times New Roman" w:hAnsi="Times New Roman" w:cs="Times New Roman"/>
                <w:lang w:eastAsia="ru-RU"/>
              </w:rPr>
              <w:t>ия о проведении инвентаризаций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таблица</w:t>
            </w:r>
            <w:r w:rsidR="009B14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№6 не заполнялась, в связи с отсутствием расхождений по результатам годовой инвентаризации (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>решение о проведении инвентаризации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№ 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9B149C">
              <w:rPr>
                <w:rFonts w:ascii="Times New Roman" w:eastAsia="Times New Roman" w:hAnsi="Times New Roman" w:cs="Times New Roman"/>
                <w:lang w:eastAsia="ru-RU"/>
              </w:rPr>
              <w:t>,19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5B7A6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B42423" w:rsidRPr="00C158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B42423" w:rsidRPr="00C158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662052" w:rsidRPr="00C15878" w:rsidRDefault="008D15C7" w:rsidP="00EE08D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В виду отсутствия числовых значений показателей в состав бюджетной отчетности за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 не вошли следующие формы отчетности:  </w:t>
            </w:r>
            <w:proofErr w:type="gramStart"/>
            <w:r w:rsidR="0023367F" w:rsidRPr="0023367F">
              <w:rPr>
                <w:rFonts w:ascii="Times New Roman" w:eastAsia="Times New Roman" w:hAnsi="Times New Roman" w:cs="Times New Roman"/>
                <w:lang w:eastAsia="ru-RU"/>
              </w:rPr>
              <w:t>«Справка по консолидируемым расчетам» форма 0503125</w:t>
            </w:r>
            <w:r w:rsidR="00233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«Сведения  о выполнении мероприятий в рамках целевых программ» форма 0503166, «Сведения о  целевых иностранных кредитах» форма 0503167, </w:t>
            </w:r>
            <w:r w:rsidRPr="009A7640">
              <w:rPr>
                <w:rFonts w:ascii="Times New Roman" w:eastAsia="Times New Roman" w:hAnsi="Times New Roman" w:cs="Times New Roman"/>
                <w:lang w:eastAsia="ru-RU"/>
              </w:rPr>
              <w:t xml:space="preserve">«Сведения о финансовых вложениях получателя бюджетных средств, администратора источников финансирования дефицита бюджета»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9A7640">
              <w:rPr>
                <w:rFonts w:ascii="Times New Roman" w:eastAsia="Times New Roman" w:hAnsi="Times New Roman" w:cs="Times New Roman"/>
                <w:lang w:eastAsia="ru-RU"/>
              </w:rPr>
              <w:t>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7640">
              <w:rPr>
                <w:rFonts w:ascii="Times New Roman" w:eastAsia="Times New Roman" w:hAnsi="Times New Roman" w:cs="Times New Roman"/>
                <w:lang w:eastAsia="ru-RU"/>
              </w:rPr>
              <w:t>0503171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7640">
              <w:rPr>
                <w:rFonts w:ascii="Times New Roman" w:eastAsia="Times New Roman" w:hAnsi="Times New Roman" w:cs="Times New Roman"/>
                <w:lang w:eastAsia="ru-RU"/>
              </w:rPr>
              <w:t>, «Сведения о государственном (муниципальном) долге, предоставленных бюджетных кредитах» форма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7640">
              <w:rPr>
                <w:rFonts w:ascii="Times New Roman" w:eastAsia="Times New Roman" w:hAnsi="Times New Roman" w:cs="Times New Roman"/>
                <w:lang w:eastAsia="ru-RU"/>
              </w:rPr>
              <w:t>0503172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 доходах бюджета от перечисления части прибыли (дивидендов) </w:t>
            </w:r>
            <w:r w:rsidR="00EE08DD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государственных (муниципальных)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унитарных предприятий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, иных организаций с государственным участием в капитале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0503174,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«Сведения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принятых и неисполненных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</w:tr>
      <w:tr w:rsidR="00662052" w:rsidRPr="00662052" w:rsidTr="008D15C7">
        <w:trPr>
          <w:gridBefore w:val="1"/>
          <w:gridAfter w:val="1"/>
          <w:wBefore w:w="15" w:type="dxa"/>
          <w:wAfter w:w="813" w:type="dxa"/>
          <w:trHeight w:val="1554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4359E1" w:rsidP="00560B15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обязательствах   получателя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48DD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бюджетных средств»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0503175,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«Сведения об остатках денежны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 xml:space="preserve">х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средств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счетах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ПБС»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0B1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форма0503178,   «Справка о суммах консолидируемых </w:t>
            </w:r>
            <w:r w:rsidR="00EC48DD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</w:t>
            </w:r>
            <w:r w:rsidR="00A862EE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поступлений, </w:t>
            </w:r>
            <w:r w:rsidR="0012271F" w:rsidRPr="00C15878">
              <w:rPr>
                <w:rFonts w:ascii="Times New Roman" w:eastAsia="Times New Roman" w:hAnsi="Times New Roman" w:cs="Times New Roman"/>
                <w:lang w:eastAsia="ru-RU"/>
              </w:rPr>
              <w:t>подлежащих зачислению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9A7640" w:rsidRPr="00C15878">
              <w:rPr>
                <w:rFonts w:ascii="Times New Roman" w:eastAsia="Times New Roman" w:hAnsi="Times New Roman" w:cs="Times New Roman"/>
                <w:lang w:eastAsia="ru-RU"/>
              </w:rPr>
              <w:t>на счет бюджета» форма 0503184,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7640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48DD" w:rsidRPr="00C15878">
              <w:rPr>
                <w:rFonts w:ascii="Times New Roman" w:eastAsia="Times New Roman" w:hAnsi="Times New Roman" w:cs="Times New Roman"/>
                <w:lang w:eastAsia="ru-RU"/>
              </w:rPr>
              <w:t>«Сведения о вложениях в объекты недвижимого имущества, объектах незавершенного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EC48DD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строительства»   форма 0503190, «Сведения об исполнении судебных решений по денежным 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EC48DD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обязательствам   </w:t>
            </w:r>
            <w:r w:rsidR="00EC48DD">
              <w:rPr>
                <w:rFonts w:ascii="Times New Roman" w:eastAsia="Times New Roman" w:hAnsi="Times New Roman" w:cs="Times New Roman"/>
                <w:lang w:eastAsia="ru-RU"/>
              </w:rPr>
              <w:t>бюджета» форма 0503296.</w:t>
            </w:r>
            <w:r w:rsidR="00EC48DD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gramEnd"/>
          </w:p>
        </w:tc>
      </w:tr>
      <w:tr w:rsidR="00662052" w:rsidRPr="00662052" w:rsidTr="008D15C7">
        <w:trPr>
          <w:gridBefore w:val="1"/>
          <w:gridAfter w:val="1"/>
          <w:wBefore w:w="15" w:type="dxa"/>
          <w:wAfter w:w="813" w:type="dxa"/>
          <w:trHeight w:val="148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EC48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3810"/>
        </w:trPr>
        <w:tc>
          <w:tcPr>
            <w:tcW w:w="97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8C248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Бюджетный учет Представительного Собрания  Шекснинского муниципального района  в 20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60B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с изменениями, с приказом МФ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РФ от 01 декабря 2010 г. №157н</w:t>
            </w:r>
            <w:r w:rsidRPr="00C1587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с изменениями, федеральными стандартами.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Годовая отчетность об исполнении бюджета Представительного Собрания  Шекснинского муниципального района составлена в соответствии с приказом МФ РФ от 28.12.2010г.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с изменениями (приказ МФ РФ от 19.12.14 № 157н).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Представительного Собрания  Шекснинского муниципального района  ведется с применением Программы </w:t>
            </w:r>
            <w:r w:rsidR="00E549D5" w:rsidRPr="00C15878">
              <w:rPr>
                <w:rFonts w:ascii="Times New Roman" w:eastAsia="Times New Roman" w:hAnsi="Times New Roman" w:cs="Times New Roman"/>
                <w:lang w:eastAsia="ru-RU"/>
              </w:rPr>
              <w:t>«АС Смета 3.2».</w:t>
            </w: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229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0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013D4">
        <w:trPr>
          <w:gridBefore w:val="1"/>
          <w:gridAfter w:val="1"/>
          <w:wBefore w:w="15" w:type="dxa"/>
          <w:wAfter w:w="813" w:type="dxa"/>
          <w:trHeight w:val="60"/>
        </w:trPr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C15878" w:rsidRDefault="00662052" w:rsidP="0078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5878" w:rsidRPr="00865AB9" w:rsidTr="004013D4">
        <w:trPr>
          <w:gridBefore w:val="1"/>
          <w:wBefore w:w="15" w:type="dxa"/>
          <w:trHeight w:val="1503"/>
        </w:trPr>
        <w:tc>
          <w:tcPr>
            <w:tcW w:w="10593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3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11"/>
              <w:gridCol w:w="1467"/>
              <w:gridCol w:w="895"/>
              <w:gridCol w:w="205"/>
              <w:gridCol w:w="612"/>
              <w:gridCol w:w="858"/>
              <w:gridCol w:w="758"/>
              <w:gridCol w:w="31"/>
              <w:gridCol w:w="548"/>
              <w:gridCol w:w="302"/>
              <w:gridCol w:w="284"/>
              <w:gridCol w:w="236"/>
              <w:gridCol w:w="93"/>
              <w:gridCol w:w="172"/>
              <w:gridCol w:w="236"/>
              <w:gridCol w:w="236"/>
              <w:gridCol w:w="68"/>
              <w:gridCol w:w="329"/>
              <w:gridCol w:w="265"/>
              <w:gridCol w:w="175"/>
              <w:gridCol w:w="236"/>
              <w:gridCol w:w="283"/>
              <w:gridCol w:w="340"/>
              <w:gridCol w:w="262"/>
              <w:gridCol w:w="598"/>
              <w:gridCol w:w="236"/>
            </w:tblGrid>
            <w:tr w:rsidR="00C15878" w:rsidRPr="00662052" w:rsidTr="00C15878">
              <w:trPr>
                <w:gridAfter w:val="3"/>
                <w:wAfter w:w="1096" w:type="dxa"/>
                <w:trHeight w:val="105"/>
              </w:trPr>
              <w:tc>
                <w:tcPr>
                  <w:tcW w:w="18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9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01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3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15878" w:rsidRPr="00662052" w:rsidTr="00C15878">
              <w:trPr>
                <w:gridAfter w:val="3"/>
                <w:wAfter w:w="1096" w:type="dxa"/>
                <w:trHeight w:val="240"/>
              </w:trPr>
              <w:tc>
                <w:tcPr>
                  <w:tcW w:w="18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3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127"/>
              </w:trPr>
              <w:tc>
                <w:tcPr>
                  <w:tcW w:w="2567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315E7E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</w:t>
                  </w:r>
                  <w:r w:rsidR="00C15878"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лава </w:t>
                  </w:r>
                  <w:proofErr w:type="gramStart"/>
                  <w:r w:rsidR="00C15878"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Шекснинского</w:t>
                  </w:r>
                  <w:proofErr w:type="gramEnd"/>
                </w:p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муниципального района</w:t>
                  </w:r>
                </w:p>
              </w:tc>
              <w:tc>
                <w:tcPr>
                  <w:tcW w:w="4434" w:type="dxa"/>
                  <w:gridSpan w:val="1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ind w:left="-204" w:right="-25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</w:t>
                  </w: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BC5B29">
                  <w:pPr>
                    <w:spacing w:after="0" w:line="240" w:lineRule="auto"/>
                    <w:ind w:left="-34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</w:t>
                  </w:r>
                  <w:r w:rsidR="00BC5B2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С.В. </w:t>
                  </w:r>
                  <w:proofErr w:type="spellStart"/>
                  <w:r w:rsidR="00BC5B2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Маров</w:t>
                  </w:r>
                  <w:proofErr w:type="spellEnd"/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375"/>
              </w:trPr>
              <w:tc>
                <w:tcPr>
                  <w:tcW w:w="256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4" w:type="dxa"/>
                  <w:gridSpan w:val="1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64FF6" w:rsidRPr="00964FF6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Сертификат: 0CBDA2BB3AA40CE6D3538456DC710195</w:t>
                  </w:r>
                </w:p>
                <w:p w:rsidR="00964FF6" w:rsidRPr="00964FF6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Маров</w:t>
                  </w:r>
                  <w:proofErr w:type="spellEnd"/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Сергей Васильевич</w:t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C15878" w:rsidRPr="00865AB9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 с 08.11.2022 по 01.02.2024</w:t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C15878" w:rsidRPr="00865AB9" w:rsidTr="00C15878">
              <w:trPr>
                <w:gridBefore w:val="1"/>
                <w:wBefore w:w="411" w:type="dxa"/>
                <w:trHeight w:val="250"/>
              </w:trPr>
              <w:tc>
                <w:tcPr>
                  <w:tcW w:w="2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6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280"/>
              </w:trPr>
              <w:tc>
                <w:tcPr>
                  <w:tcW w:w="2567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КУ 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ШМР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«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ЦБУ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4434" w:type="dxa"/>
                  <w:gridSpan w:val="1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И.А. </w:t>
                  </w:r>
                  <w:proofErr w:type="spellStart"/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Сопот</w:t>
                  </w:r>
                  <w:proofErr w:type="spellEnd"/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556"/>
              </w:trPr>
              <w:tc>
                <w:tcPr>
                  <w:tcW w:w="256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4" w:type="dxa"/>
                  <w:gridSpan w:val="1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64FF6" w:rsidRPr="00964FF6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Сертификат: 00AAC81F6104B1E9B1EDB6B18B3A36E1C3</w:t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964FF6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Владе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лец: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Сопот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Александровна</w:t>
                  </w:r>
                </w:p>
                <w:p w:rsidR="00C15878" w:rsidRPr="00865AB9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 с 25.12.2023 по 19.03.2025</w:t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="00C15878"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C15878" w:rsidRPr="00865AB9" w:rsidTr="00C15878">
              <w:trPr>
                <w:gridBefore w:val="1"/>
                <w:wBefore w:w="411" w:type="dxa"/>
                <w:trHeight w:val="250"/>
              </w:trPr>
              <w:tc>
                <w:tcPr>
                  <w:tcW w:w="2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6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280"/>
              </w:trPr>
              <w:tc>
                <w:tcPr>
                  <w:tcW w:w="2567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Default="00315E7E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</w:t>
                  </w:r>
                  <w:r w:rsidR="00C15878"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лавный бухгалтер </w:t>
                  </w:r>
                </w:p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КУ 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ШМР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«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ЦБУ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4434" w:type="dxa"/>
                  <w:gridSpan w:val="1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И.М. </w:t>
                  </w:r>
                  <w:proofErr w:type="spellStart"/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Кунина</w:t>
                  </w:r>
                  <w:proofErr w:type="spellEnd"/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880"/>
              </w:trPr>
              <w:tc>
                <w:tcPr>
                  <w:tcW w:w="256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34" w:type="dxa"/>
                  <w:gridSpan w:val="1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64FF6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Сертификат: 7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8F33F1B63D2D2FB19838087D658DBD7</w:t>
                  </w:r>
                </w:p>
                <w:p w:rsidR="00964FF6" w:rsidRPr="00964FF6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Кунина</w:t>
                  </w:r>
                  <w:proofErr w:type="spellEnd"/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Михайловна</w:t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C15878" w:rsidRPr="00865AB9" w:rsidRDefault="00964FF6" w:rsidP="00964FF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 с 15.02.2023 по 10.05.2024</w:t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964FF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="00315E7E"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="00315E7E"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C15878" w:rsidRDefault="00C15878" w:rsidP="00C15878"/>
          <w:p w:rsidR="00C15878" w:rsidRPr="00C15878" w:rsidRDefault="00C15878">
            <w:pPr>
              <w:rPr>
                <w:sz w:val="16"/>
                <w:szCs w:val="16"/>
              </w:rPr>
            </w:pPr>
          </w:p>
        </w:tc>
      </w:tr>
      <w:tr w:rsidR="0010525C" w:rsidRPr="00865AB9" w:rsidTr="004013D4">
        <w:trPr>
          <w:gridBefore w:val="1"/>
          <w:wBefore w:w="15" w:type="dxa"/>
          <w:trHeight w:val="1549"/>
        </w:trPr>
        <w:tc>
          <w:tcPr>
            <w:tcW w:w="10593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25C" w:rsidRPr="00C15878" w:rsidRDefault="0010525C" w:rsidP="00AC2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3D2F3E" w:rsidRDefault="003D2F3E"/>
    <w:p w:rsidR="003D2F3E" w:rsidRDefault="003D2F3E"/>
    <w:p w:rsidR="003D2F3E" w:rsidRDefault="003D2F3E"/>
    <w:p w:rsidR="003D2F3E" w:rsidRDefault="003D2F3E"/>
    <w:p w:rsidR="003D2F3E" w:rsidRDefault="003D2F3E"/>
    <w:p w:rsidR="003D2F3E" w:rsidRDefault="003D2F3E">
      <w:pPr>
        <w:sectPr w:rsidR="003D2F3E" w:rsidSect="008D15C7"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</w:p>
    <w:p w:rsidR="003D2F3E" w:rsidRPr="0078390C" w:rsidRDefault="003D2F3E">
      <w:pPr>
        <w:rPr>
          <w:rFonts w:ascii="Times New Roman" w:hAnsi="Times New Roman" w:cs="Times New Roman"/>
        </w:rPr>
      </w:pPr>
    </w:p>
    <w:sectPr w:rsidR="003D2F3E" w:rsidRPr="0078390C" w:rsidSect="007839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31585"/>
    <w:rsid w:val="0005611F"/>
    <w:rsid w:val="00075FEC"/>
    <w:rsid w:val="000949B8"/>
    <w:rsid w:val="000E1636"/>
    <w:rsid w:val="000E4D25"/>
    <w:rsid w:val="000F3903"/>
    <w:rsid w:val="0010525C"/>
    <w:rsid w:val="0012271F"/>
    <w:rsid w:val="00152C51"/>
    <w:rsid w:val="00183833"/>
    <w:rsid w:val="001B5DF7"/>
    <w:rsid w:val="001E4336"/>
    <w:rsid w:val="00224184"/>
    <w:rsid w:val="0023367F"/>
    <w:rsid w:val="00265A7D"/>
    <w:rsid w:val="00284014"/>
    <w:rsid w:val="002B1DF0"/>
    <w:rsid w:val="002B4D91"/>
    <w:rsid w:val="002D442C"/>
    <w:rsid w:val="00315E7E"/>
    <w:rsid w:val="0036384B"/>
    <w:rsid w:val="003709C1"/>
    <w:rsid w:val="00373A23"/>
    <w:rsid w:val="00382D22"/>
    <w:rsid w:val="003961CF"/>
    <w:rsid w:val="003B0738"/>
    <w:rsid w:val="003C5168"/>
    <w:rsid w:val="003D2F3E"/>
    <w:rsid w:val="004013D4"/>
    <w:rsid w:val="00405D03"/>
    <w:rsid w:val="004359E1"/>
    <w:rsid w:val="004A067E"/>
    <w:rsid w:val="0052374A"/>
    <w:rsid w:val="00525E55"/>
    <w:rsid w:val="005359A2"/>
    <w:rsid w:val="00560B15"/>
    <w:rsid w:val="00584F91"/>
    <w:rsid w:val="005A0C44"/>
    <w:rsid w:val="005B7A63"/>
    <w:rsid w:val="006001F5"/>
    <w:rsid w:val="00662052"/>
    <w:rsid w:val="0069657D"/>
    <w:rsid w:val="006C2402"/>
    <w:rsid w:val="00736E03"/>
    <w:rsid w:val="0076249A"/>
    <w:rsid w:val="00763D3B"/>
    <w:rsid w:val="00773AAE"/>
    <w:rsid w:val="0078390C"/>
    <w:rsid w:val="00803CEC"/>
    <w:rsid w:val="00835F1A"/>
    <w:rsid w:val="008434C1"/>
    <w:rsid w:val="0085414A"/>
    <w:rsid w:val="00864C51"/>
    <w:rsid w:val="00865AB9"/>
    <w:rsid w:val="00870468"/>
    <w:rsid w:val="00883268"/>
    <w:rsid w:val="008C248A"/>
    <w:rsid w:val="008D15C7"/>
    <w:rsid w:val="00964FF6"/>
    <w:rsid w:val="009972A0"/>
    <w:rsid w:val="009A7640"/>
    <w:rsid w:val="009B149C"/>
    <w:rsid w:val="009D2429"/>
    <w:rsid w:val="009F750E"/>
    <w:rsid w:val="00A862EE"/>
    <w:rsid w:val="00AB0BF5"/>
    <w:rsid w:val="00AC05B6"/>
    <w:rsid w:val="00AD65D1"/>
    <w:rsid w:val="00AE1403"/>
    <w:rsid w:val="00AF3083"/>
    <w:rsid w:val="00B42423"/>
    <w:rsid w:val="00BC5B29"/>
    <w:rsid w:val="00BD0B31"/>
    <w:rsid w:val="00C15878"/>
    <w:rsid w:val="00C60797"/>
    <w:rsid w:val="00C71E2F"/>
    <w:rsid w:val="00C817E4"/>
    <w:rsid w:val="00C951E2"/>
    <w:rsid w:val="00CC1FBB"/>
    <w:rsid w:val="00D725E7"/>
    <w:rsid w:val="00D91CAD"/>
    <w:rsid w:val="00DB39AD"/>
    <w:rsid w:val="00DC35B9"/>
    <w:rsid w:val="00E20BC2"/>
    <w:rsid w:val="00E33E6C"/>
    <w:rsid w:val="00E549D5"/>
    <w:rsid w:val="00EC48DD"/>
    <w:rsid w:val="00EE08DD"/>
    <w:rsid w:val="00EF5F54"/>
    <w:rsid w:val="00F25D17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A263D-3B93-4D0A-91DF-E6F4EFBF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69</cp:revision>
  <cp:lastPrinted>2023-03-27T10:38:00Z</cp:lastPrinted>
  <dcterms:created xsi:type="dcterms:W3CDTF">2021-01-23T18:45:00Z</dcterms:created>
  <dcterms:modified xsi:type="dcterms:W3CDTF">2024-03-25T07:40:00Z</dcterms:modified>
</cp:coreProperties>
</file>